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C31D" w14:textId="77777777" w:rsidR="000345DC" w:rsidRDefault="000345DC" w:rsidP="00795DBA"/>
    <w:p w14:paraId="26914752" w14:textId="77777777" w:rsidR="007F27FE" w:rsidRDefault="007F27FE" w:rsidP="00795DBA"/>
    <w:p w14:paraId="74BAF60C" w14:textId="77777777" w:rsidR="007F27FE" w:rsidRPr="002E27B7" w:rsidRDefault="007F27FE" w:rsidP="007F27FE">
      <w:pPr>
        <w:spacing w:before="0" w:after="160" w:line="259" w:lineRule="auto"/>
        <w:rPr>
          <w:rFonts w:ascii="Times New Roman" w:eastAsiaTheme="minorHAnsi" w:hAnsi="Times New Roman" w:cs="Times New Roman"/>
          <w:sz w:val="24"/>
          <w:lang w:val="en-GB"/>
        </w:rPr>
      </w:pPr>
    </w:p>
    <w:p w14:paraId="437E26D1" w14:textId="77777777" w:rsidR="007F27FE" w:rsidRPr="002E27B7" w:rsidRDefault="007F27FE" w:rsidP="007F27FE">
      <w:pPr>
        <w:spacing w:before="0" w:after="160" w:line="259" w:lineRule="auto"/>
        <w:jc w:val="center"/>
        <w:rPr>
          <w:rFonts w:ascii="Times New Roman" w:eastAsiaTheme="minorHAnsi" w:hAnsi="Times New Roman" w:cs="Times New Roman"/>
          <w:sz w:val="24"/>
          <w:lang w:val="en-GB"/>
        </w:rPr>
      </w:pPr>
      <w:r w:rsidRPr="002E27B7">
        <w:rPr>
          <w:rFonts w:ascii="Times New Roman" w:eastAsiaTheme="minorHAnsi" w:hAnsi="Times New Roman" w:cs="Times New Roman"/>
          <w:noProof/>
          <w:sz w:val="24"/>
          <w:lang w:val="en-GB"/>
        </w:rPr>
        <w:drawing>
          <wp:inline distT="0" distB="0" distL="0" distR="0" wp14:anchorId="38A7E099" wp14:editId="1B6016A4">
            <wp:extent cx="2561832" cy="1716394"/>
            <wp:effectExtent l="76200" t="19050" r="48260" b="113030"/>
            <wp:docPr id="4" name="Bild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_small"/>
                    <pic:cNvPicPr>
                      <a:picLocks noChangeAspect="1" noChangeArrowheads="1"/>
                    </pic:cNvPicPr>
                  </pic:nvPicPr>
                  <pic:blipFill rotWithShape="1">
                    <a:blip r:embed="rId11" cstate="print"/>
                    <a:srcRect b="11567"/>
                    <a:stretch/>
                  </pic:blipFill>
                  <pic:spPr bwMode="auto">
                    <a:xfrm>
                      <a:off x="0" y="0"/>
                      <a:ext cx="2561590" cy="1715770"/>
                    </a:xfrm>
                    <a:prstGeom prst="rect">
                      <a:avLst/>
                    </a:prstGeom>
                    <a:solidFill>
                      <a:sysClr val="window" lastClr="FFFFFF">
                        <a:alpha val="0"/>
                      </a:sysClr>
                    </a:solidFill>
                    <a:ln w="9525" cap="flat" cmpd="sng" algn="ctr">
                      <a:solidFill>
                        <a:srgbClr val="4472C4">
                          <a:alpha val="0"/>
                        </a:srgbClr>
                      </a:solidFill>
                      <a:prstDash val="solid"/>
                      <a:round/>
                      <a:headEnd type="none" w="med" len="med"/>
                      <a:tailEnd type="none" w="med" len="med"/>
                    </a:ln>
                    <a:effectLst>
                      <a:outerShdw blurRad="50800" dist="50800" dir="5400000" algn="ctr" rotWithShape="0">
                        <a:sysClr val="window" lastClr="FFFFFF"/>
                      </a:outerShdw>
                      <a:reflection stA="0" endPos="65000" dist="50800" dir="5400000" sy="-100000" algn="bl" rotWithShape="0"/>
                    </a:effectLst>
                  </pic:spPr>
                </pic:pic>
              </a:graphicData>
            </a:graphic>
          </wp:inline>
        </w:drawing>
      </w:r>
    </w:p>
    <w:p w14:paraId="59A3EE86" w14:textId="77777777" w:rsidR="007F27FE" w:rsidRPr="002E27B7" w:rsidRDefault="007F27FE" w:rsidP="007F27FE">
      <w:pPr>
        <w:spacing w:before="0"/>
        <w:jc w:val="center"/>
        <w:rPr>
          <w:rFonts w:ascii="Times New Roman Bold" w:eastAsia="Times New Roman" w:hAnsi="Times New Roman Bold" w:cs="Times New Roman"/>
          <w:b/>
          <w:sz w:val="48"/>
          <w:szCs w:val="20"/>
          <w:lang w:val="en-US"/>
        </w:rPr>
      </w:pPr>
      <w:r w:rsidRPr="002E27B7">
        <w:rPr>
          <w:rFonts w:ascii="Times New Roman Bold" w:eastAsia="Times New Roman" w:hAnsi="Times New Roman Bold" w:cs="Times New Roman"/>
          <w:b/>
          <w:sz w:val="48"/>
          <w:szCs w:val="20"/>
          <w:lang w:val="en-US"/>
        </w:rPr>
        <w:t>NATIONAL WATER AND SEWERAGE AUTHORITY -</w:t>
      </w:r>
      <w:r>
        <w:rPr>
          <w:rFonts w:ascii="Times New Roman Bold" w:eastAsia="Times New Roman" w:hAnsi="Times New Roman Bold" w:cs="Times New Roman"/>
          <w:b/>
          <w:sz w:val="48"/>
          <w:szCs w:val="20"/>
          <w:lang w:val="en-US"/>
        </w:rPr>
        <w:t xml:space="preserve"> </w:t>
      </w:r>
      <w:r w:rsidRPr="002E27B7">
        <w:rPr>
          <w:rFonts w:ascii="Times New Roman Bold" w:eastAsia="Times New Roman" w:hAnsi="Times New Roman Bold" w:cs="Times New Roman"/>
          <w:b/>
          <w:sz w:val="48"/>
          <w:szCs w:val="20"/>
          <w:lang w:val="en-US"/>
        </w:rPr>
        <w:t>NAWASA</w:t>
      </w:r>
    </w:p>
    <w:p w14:paraId="01027947" w14:textId="77777777" w:rsidR="007F27FE" w:rsidRPr="002E27B7" w:rsidRDefault="007F27FE" w:rsidP="007F27FE">
      <w:pPr>
        <w:spacing w:before="0" w:after="160" w:line="259" w:lineRule="auto"/>
        <w:rPr>
          <w:rFonts w:ascii="Times New Roman" w:eastAsiaTheme="minorHAnsi" w:hAnsi="Times New Roman" w:cs="Times New Roman"/>
          <w:sz w:val="24"/>
          <w:lang w:val="en-GB"/>
        </w:rPr>
      </w:pPr>
    </w:p>
    <w:p w14:paraId="56F3502A" w14:textId="77777777" w:rsidR="007F27FE" w:rsidRPr="002E27B7" w:rsidRDefault="007F27FE" w:rsidP="007F27FE">
      <w:pPr>
        <w:spacing w:before="0" w:after="160" w:line="259" w:lineRule="auto"/>
        <w:rPr>
          <w:rFonts w:ascii="Times New Roman" w:eastAsiaTheme="minorHAnsi" w:hAnsi="Times New Roman" w:cs="Times New Roman"/>
          <w:sz w:val="24"/>
          <w:lang w:val="en-GB"/>
        </w:rPr>
      </w:pPr>
    </w:p>
    <w:p w14:paraId="4F573E04" w14:textId="77777777" w:rsidR="007F27FE" w:rsidRDefault="007F27FE" w:rsidP="007F27FE">
      <w:pPr>
        <w:spacing w:before="0" w:after="160" w:line="259" w:lineRule="auto"/>
        <w:jc w:val="center"/>
        <w:rPr>
          <w:rFonts w:ascii="Times New Roman" w:eastAsiaTheme="minorHAnsi" w:hAnsi="Times New Roman" w:cs="Times New Roman"/>
          <w:sz w:val="24"/>
          <w:lang w:val="en-GB"/>
        </w:rPr>
      </w:pPr>
      <w:r w:rsidRPr="002E27B7">
        <w:rPr>
          <w:rFonts w:ascii="Times New Roman" w:eastAsiaTheme="minorHAnsi" w:hAnsi="Times New Roman" w:cs="Times New Roman"/>
          <w:sz w:val="24"/>
          <w:lang w:val="en-GB"/>
        </w:rPr>
        <w:t xml:space="preserve">TERMS OF REFERENCE AND TECHNICAL SPECIFICATION FOR </w:t>
      </w:r>
    </w:p>
    <w:p w14:paraId="60F2EDD4" w14:textId="2B5134AD" w:rsidR="007F27FE" w:rsidRPr="002E27B7" w:rsidRDefault="007F27FE" w:rsidP="007F27FE">
      <w:pPr>
        <w:spacing w:before="0" w:after="160" w:line="259" w:lineRule="auto"/>
        <w:jc w:val="center"/>
        <w:rPr>
          <w:rFonts w:ascii="Times New Roman" w:eastAsiaTheme="minorHAnsi" w:hAnsi="Times New Roman" w:cs="Times New Roman"/>
          <w:b/>
          <w:sz w:val="40"/>
          <w:szCs w:val="40"/>
          <w:lang w:val="en-GB"/>
        </w:rPr>
      </w:pPr>
      <w:r w:rsidRPr="006D087C">
        <w:rPr>
          <w:rFonts w:ascii="Times New Roman" w:eastAsiaTheme="minorHAnsi" w:hAnsi="Times New Roman" w:cs="Times New Roman"/>
          <w:b/>
          <w:sz w:val="40"/>
          <w:szCs w:val="40"/>
          <w:lang w:val="en-GB"/>
        </w:rPr>
        <w:t xml:space="preserve">Ecological Assignment under the Water Transfer System </w:t>
      </w:r>
    </w:p>
    <w:p w14:paraId="629AB7B4" w14:textId="77777777" w:rsidR="007F27FE" w:rsidRPr="002E27B7" w:rsidRDefault="007F27FE" w:rsidP="007F27FE">
      <w:pPr>
        <w:spacing w:before="0"/>
        <w:jc w:val="center"/>
        <w:rPr>
          <w:rFonts w:ascii="Times New Roman Bold" w:eastAsia="Times New Roman" w:hAnsi="Times New Roman Bold" w:cs="Times New Roman"/>
          <w:bCs/>
          <w:sz w:val="28"/>
          <w:szCs w:val="28"/>
          <w:lang w:val="en-GB"/>
        </w:rPr>
      </w:pPr>
    </w:p>
    <w:p w14:paraId="64865E7D" w14:textId="77777777" w:rsidR="007F27FE" w:rsidRPr="002E27B7" w:rsidRDefault="007F27FE" w:rsidP="007F27FE">
      <w:pPr>
        <w:spacing w:before="0"/>
        <w:jc w:val="center"/>
        <w:rPr>
          <w:rFonts w:ascii="Times New Roman Bold" w:eastAsia="Times New Roman" w:hAnsi="Times New Roman Bold" w:cs="Times New Roman"/>
          <w:bCs/>
          <w:sz w:val="28"/>
          <w:szCs w:val="28"/>
          <w:lang w:val="en-US"/>
        </w:rPr>
      </w:pPr>
      <w:r w:rsidRPr="002E27B7">
        <w:rPr>
          <w:rFonts w:ascii="Times New Roman Bold" w:eastAsia="Times New Roman" w:hAnsi="Times New Roman Bold" w:cs="Times New Roman"/>
          <w:bCs/>
          <w:sz w:val="28"/>
          <w:szCs w:val="28"/>
          <w:lang w:val="en-US"/>
        </w:rPr>
        <w:t>FOR</w:t>
      </w:r>
    </w:p>
    <w:p w14:paraId="11E3C30B" w14:textId="77777777" w:rsidR="007F27FE" w:rsidRPr="002E27B7" w:rsidRDefault="007F27FE" w:rsidP="007F27FE">
      <w:pPr>
        <w:spacing w:before="0"/>
        <w:jc w:val="center"/>
        <w:rPr>
          <w:rFonts w:ascii="Times New Roman Bold" w:eastAsia="Times New Roman" w:hAnsi="Times New Roman Bold" w:cs="Times New Roman"/>
          <w:bCs/>
          <w:sz w:val="28"/>
          <w:szCs w:val="28"/>
          <w:lang w:val="en-US"/>
        </w:rPr>
      </w:pPr>
    </w:p>
    <w:p w14:paraId="69BE4A78" w14:textId="77777777" w:rsidR="007F27FE" w:rsidRPr="002E27B7" w:rsidRDefault="007F27FE" w:rsidP="007F27FE">
      <w:pPr>
        <w:spacing w:before="0"/>
        <w:jc w:val="center"/>
        <w:rPr>
          <w:rFonts w:ascii="Times New Roman Bold" w:eastAsia="Times New Roman" w:hAnsi="Times New Roman Bold" w:cs="Times New Roman"/>
          <w:bCs/>
          <w:sz w:val="28"/>
          <w:szCs w:val="28"/>
          <w:lang w:val="en-US"/>
        </w:rPr>
      </w:pPr>
      <w:r w:rsidRPr="002E27B7">
        <w:rPr>
          <w:rFonts w:ascii="Times New Roman Bold" w:eastAsia="Times New Roman" w:hAnsi="Times New Roman Bold" w:cs="Times New Roman"/>
          <w:bCs/>
          <w:sz w:val="28"/>
          <w:szCs w:val="28"/>
          <w:lang w:val="en-US"/>
        </w:rPr>
        <w:t>G-CREWS PROJECT- COMPONENT 3</w:t>
      </w:r>
    </w:p>
    <w:p w14:paraId="443BD6C1" w14:textId="77777777" w:rsidR="007F27FE" w:rsidRPr="002E27B7" w:rsidRDefault="007F27FE" w:rsidP="007F27FE">
      <w:pPr>
        <w:spacing w:before="0"/>
        <w:jc w:val="center"/>
        <w:rPr>
          <w:rFonts w:ascii="Times New Roman Bold" w:eastAsia="Times New Roman" w:hAnsi="Times New Roman Bold" w:cs="Times New Roman"/>
          <w:bCs/>
          <w:sz w:val="28"/>
          <w:szCs w:val="28"/>
          <w:lang w:val="en-US"/>
        </w:rPr>
      </w:pPr>
    </w:p>
    <w:p w14:paraId="46AA78F0" w14:textId="77777777" w:rsidR="007F27FE" w:rsidRPr="002E27B7" w:rsidRDefault="007F27FE" w:rsidP="007F27FE">
      <w:pPr>
        <w:spacing w:before="0"/>
        <w:jc w:val="center"/>
        <w:rPr>
          <w:rFonts w:ascii="Times New Roman Bold" w:eastAsia="Times New Roman" w:hAnsi="Times New Roman Bold" w:cs="Times New Roman"/>
          <w:bCs/>
          <w:sz w:val="28"/>
          <w:szCs w:val="28"/>
          <w:lang w:val="en-US"/>
        </w:rPr>
      </w:pPr>
    </w:p>
    <w:p w14:paraId="14EE6C54" w14:textId="77777777" w:rsidR="007F27FE" w:rsidRPr="002E27B7" w:rsidRDefault="007F27FE" w:rsidP="007F27FE">
      <w:pPr>
        <w:spacing w:before="0"/>
        <w:jc w:val="center"/>
        <w:rPr>
          <w:rFonts w:ascii="Times New Roman Bold" w:eastAsia="Times New Roman" w:hAnsi="Times New Roman Bold" w:cs="Times New Roman"/>
          <w:bCs/>
          <w:sz w:val="28"/>
          <w:szCs w:val="28"/>
          <w:lang w:val="en-US"/>
        </w:rPr>
      </w:pPr>
      <w:r w:rsidRPr="002E27B7">
        <w:rPr>
          <w:rFonts w:ascii="Times New Roman Bold" w:eastAsia="Times New Roman" w:hAnsi="Times New Roman Bold" w:cs="Times New Roman"/>
          <w:bCs/>
          <w:sz w:val="28"/>
          <w:szCs w:val="28"/>
          <w:lang w:val="en-US"/>
        </w:rPr>
        <w:t>Issued for Tender only</w:t>
      </w:r>
    </w:p>
    <w:p w14:paraId="19BE7D87" w14:textId="77777777" w:rsidR="007F27FE" w:rsidRPr="002E27B7" w:rsidRDefault="007F27FE" w:rsidP="007F27FE">
      <w:pPr>
        <w:spacing w:before="0" w:after="160" w:line="259" w:lineRule="auto"/>
        <w:rPr>
          <w:rFonts w:ascii="Times New Roman" w:eastAsiaTheme="minorHAnsi" w:hAnsi="Times New Roman" w:cs="Times New Roman"/>
          <w:sz w:val="24"/>
          <w:lang w:val="en-GB"/>
        </w:rPr>
      </w:pPr>
    </w:p>
    <w:p w14:paraId="3BE2618F" w14:textId="77777777" w:rsidR="007F27FE" w:rsidRPr="002E27B7" w:rsidRDefault="007F27FE" w:rsidP="007F27FE">
      <w:pPr>
        <w:spacing w:before="0" w:after="160" w:line="259" w:lineRule="auto"/>
        <w:jc w:val="center"/>
        <w:rPr>
          <w:rFonts w:ascii="Times New Roman" w:eastAsiaTheme="minorHAnsi" w:hAnsi="Times New Roman" w:cs="Times New Roman"/>
          <w:b/>
          <w:bCs/>
          <w:sz w:val="28"/>
          <w:szCs w:val="28"/>
          <w:lang w:val="en-US"/>
        </w:rPr>
      </w:pPr>
    </w:p>
    <w:p w14:paraId="76C589A8" w14:textId="77777777" w:rsidR="007F27FE" w:rsidRPr="002E27B7" w:rsidRDefault="007F27FE" w:rsidP="007F27FE">
      <w:pPr>
        <w:spacing w:before="0" w:after="160" w:line="259" w:lineRule="auto"/>
        <w:jc w:val="center"/>
        <w:rPr>
          <w:rFonts w:ascii="Times New Roman" w:eastAsiaTheme="minorHAnsi" w:hAnsi="Times New Roman" w:cs="Times New Roman"/>
          <w:b/>
          <w:bCs/>
          <w:sz w:val="28"/>
          <w:szCs w:val="28"/>
          <w:lang w:val="en-US"/>
        </w:rPr>
      </w:pPr>
      <w:r w:rsidRPr="002E27B7">
        <w:rPr>
          <w:rFonts w:ascii="Times New Roman" w:eastAsiaTheme="minorHAnsi" w:hAnsi="Times New Roman" w:cs="Times New Roman"/>
          <w:b/>
          <w:bCs/>
          <w:sz w:val="28"/>
          <w:szCs w:val="28"/>
          <w:lang w:val="en-US"/>
        </w:rPr>
        <w:t>St. George’s, Grenada</w:t>
      </w:r>
    </w:p>
    <w:p w14:paraId="133EE2A7" w14:textId="77777777" w:rsidR="007F27FE" w:rsidRPr="002E27B7" w:rsidRDefault="007F27FE" w:rsidP="007F27FE">
      <w:pPr>
        <w:spacing w:before="0" w:after="160" w:line="259" w:lineRule="auto"/>
        <w:jc w:val="center"/>
        <w:rPr>
          <w:rFonts w:ascii="Times New Roman" w:eastAsiaTheme="minorHAnsi" w:hAnsi="Times New Roman" w:cs="Times New Roman"/>
          <w:sz w:val="28"/>
          <w:szCs w:val="28"/>
          <w:lang w:val="en-US"/>
        </w:rPr>
      </w:pPr>
    </w:p>
    <w:p w14:paraId="6E89D471" w14:textId="1690584F" w:rsidR="007F27FE" w:rsidRDefault="00291DA7" w:rsidP="007F27FE">
      <w:pPr>
        <w:spacing w:before="0" w:after="160" w:line="259" w:lineRule="auto"/>
        <w:jc w:val="center"/>
        <w:rPr>
          <w:rFonts w:ascii="Times New Roman" w:eastAsiaTheme="minorHAnsi" w:hAnsi="Times New Roman" w:cs="Times New Roman"/>
          <w:b/>
          <w:bCs/>
          <w:sz w:val="28"/>
          <w:szCs w:val="28"/>
          <w:lang w:val="en-US"/>
        </w:rPr>
      </w:pPr>
      <w:r>
        <w:rPr>
          <w:rFonts w:ascii="Times New Roman" w:eastAsiaTheme="minorHAnsi" w:hAnsi="Times New Roman" w:cs="Times New Roman"/>
          <w:b/>
          <w:bCs/>
          <w:sz w:val="28"/>
          <w:szCs w:val="28"/>
          <w:lang w:val="en-US"/>
        </w:rPr>
        <w:t>May 21</w:t>
      </w:r>
      <w:r w:rsidR="007F27FE" w:rsidRPr="002E27B7">
        <w:rPr>
          <w:rFonts w:ascii="Times New Roman" w:eastAsiaTheme="minorHAnsi" w:hAnsi="Times New Roman" w:cs="Times New Roman"/>
          <w:b/>
          <w:bCs/>
          <w:sz w:val="28"/>
          <w:szCs w:val="28"/>
          <w:lang w:val="en-US"/>
        </w:rPr>
        <w:t>, 202</w:t>
      </w:r>
      <w:r w:rsidR="007F27FE">
        <w:rPr>
          <w:rFonts w:ascii="Times New Roman" w:eastAsiaTheme="minorHAnsi" w:hAnsi="Times New Roman" w:cs="Times New Roman"/>
          <w:b/>
          <w:bCs/>
          <w:sz w:val="28"/>
          <w:szCs w:val="28"/>
          <w:lang w:val="en-US"/>
        </w:rPr>
        <w:t>5</w:t>
      </w:r>
    </w:p>
    <w:p w14:paraId="35B4356E" w14:textId="77777777" w:rsidR="007F27FE" w:rsidRDefault="007F27FE" w:rsidP="007F27FE">
      <w:pPr>
        <w:spacing w:before="0" w:after="160" w:line="259" w:lineRule="auto"/>
        <w:jc w:val="center"/>
        <w:rPr>
          <w:rFonts w:ascii="Times New Roman" w:eastAsiaTheme="minorHAnsi" w:hAnsi="Times New Roman" w:cs="Times New Roman"/>
          <w:b/>
          <w:bCs/>
          <w:sz w:val="28"/>
          <w:szCs w:val="28"/>
          <w:lang w:val="en-US"/>
        </w:rPr>
      </w:pPr>
    </w:p>
    <w:p w14:paraId="0CC00E4D" w14:textId="77777777" w:rsidR="007F27FE" w:rsidRDefault="007F27FE" w:rsidP="007F27FE">
      <w:pPr>
        <w:spacing w:before="0" w:after="160" w:line="259" w:lineRule="auto"/>
        <w:jc w:val="center"/>
        <w:rPr>
          <w:rFonts w:ascii="Times New Roman" w:eastAsiaTheme="minorHAnsi" w:hAnsi="Times New Roman" w:cs="Times New Roman"/>
          <w:b/>
          <w:bCs/>
          <w:sz w:val="28"/>
          <w:szCs w:val="28"/>
          <w:lang w:val="en-US"/>
        </w:rPr>
      </w:pPr>
    </w:p>
    <w:p w14:paraId="4940E9CA" w14:textId="77777777" w:rsidR="007F27FE" w:rsidRDefault="007F27FE" w:rsidP="007F27FE">
      <w:pPr>
        <w:spacing w:before="0" w:after="160" w:line="259" w:lineRule="auto"/>
        <w:jc w:val="center"/>
        <w:rPr>
          <w:rFonts w:ascii="Times New Roman" w:eastAsiaTheme="minorHAnsi" w:hAnsi="Times New Roman" w:cs="Times New Roman"/>
          <w:b/>
          <w:bCs/>
          <w:sz w:val="28"/>
          <w:szCs w:val="28"/>
          <w:lang w:val="en-US"/>
        </w:rPr>
      </w:pPr>
    </w:p>
    <w:p w14:paraId="353BEB1F" w14:textId="59A40324" w:rsidR="009C0A08" w:rsidRDefault="009C0A08" w:rsidP="00135540">
      <w:pPr>
        <w:pStyle w:val="Heading2"/>
        <w:numPr>
          <w:ilvl w:val="0"/>
          <w:numId w:val="32"/>
        </w:numPr>
        <w:jc w:val="both"/>
        <w:rPr>
          <w:lang w:val="en-US"/>
        </w:rPr>
      </w:pPr>
      <w:bookmarkStart w:id="0" w:name="_Toc102570474"/>
      <w:r>
        <w:rPr>
          <w:lang w:val="en-US"/>
        </w:rPr>
        <w:t>List of Abbreviations</w:t>
      </w:r>
    </w:p>
    <w:p w14:paraId="0054B963" w14:textId="77777777" w:rsidR="00C23810" w:rsidRPr="00C23810" w:rsidRDefault="00C23810" w:rsidP="00C23810">
      <w:pPr>
        <w:rPr>
          <w:lang w:val="en-US"/>
        </w:rPr>
      </w:pPr>
    </w:p>
    <w:p w14:paraId="1AD599FF" w14:textId="77777777" w:rsidR="002D02AE" w:rsidRPr="002D02AE" w:rsidRDefault="002D02AE" w:rsidP="00C23810">
      <w:pPr>
        <w:rPr>
          <w:lang w:val="en-US"/>
        </w:rPr>
      </w:pPr>
      <w:r w:rsidRPr="002D02AE">
        <w:rPr>
          <w:b/>
          <w:bCs/>
          <w:lang w:val="en-US"/>
        </w:rPr>
        <w:t>BMU</w:t>
      </w:r>
      <w:r w:rsidRPr="002D02AE">
        <w:rPr>
          <w:lang w:val="en-US"/>
        </w:rPr>
        <w:t>: German Federal Ministry for the Environment, Nature Conservation and Nuclear Safety</w:t>
      </w:r>
    </w:p>
    <w:p w14:paraId="0F817C7E" w14:textId="77777777" w:rsidR="002D02AE" w:rsidRPr="002D02AE" w:rsidRDefault="002D02AE" w:rsidP="00C23810">
      <w:pPr>
        <w:rPr>
          <w:lang w:val="en-US"/>
        </w:rPr>
      </w:pPr>
      <w:r w:rsidRPr="002D02AE">
        <w:rPr>
          <w:b/>
          <w:bCs/>
          <w:lang w:val="en-US"/>
        </w:rPr>
        <w:t>ESMP</w:t>
      </w:r>
      <w:r w:rsidRPr="002D02AE">
        <w:rPr>
          <w:lang w:val="en-US"/>
        </w:rPr>
        <w:t>: Environmental and Social Management Plan</w:t>
      </w:r>
    </w:p>
    <w:p w14:paraId="7591B1BB" w14:textId="77777777" w:rsidR="002D02AE" w:rsidRPr="002D02AE" w:rsidRDefault="002D02AE" w:rsidP="00C23810">
      <w:pPr>
        <w:rPr>
          <w:lang w:val="en-US"/>
        </w:rPr>
      </w:pPr>
      <w:r w:rsidRPr="002D02AE">
        <w:rPr>
          <w:b/>
          <w:bCs/>
          <w:lang w:val="en-US"/>
        </w:rPr>
        <w:t>GCF</w:t>
      </w:r>
      <w:r w:rsidRPr="002D02AE">
        <w:rPr>
          <w:lang w:val="en-US"/>
        </w:rPr>
        <w:t>: Green Climate Fund</w:t>
      </w:r>
    </w:p>
    <w:p w14:paraId="715C4978" w14:textId="77777777" w:rsidR="002D02AE" w:rsidRPr="002D02AE" w:rsidRDefault="002D02AE" w:rsidP="00C23810">
      <w:pPr>
        <w:rPr>
          <w:lang w:val="en-US"/>
        </w:rPr>
      </w:pPr>
      <w:r w:rsidRPr="002D02AE">
        <w:rPr>
          <w:b/>
          <w:bCs/>
          <w:lang w:val="en-US"/>
        </w:rPr>
        <w:t>G-CREWS</w:t>
      </w:r>
      <w:r w:rsidRPr="002D02AE">
        <w:rPr>
          <w:lang w:val="en-US"/>
        </w:rPr>
        <w:t>: Project Climate-Resilient Water Sector in Grenada</w:t>
      </w:r>
    </w:p>
    <w:p w14:paraId="7C7B6837" w14:textId="77777777" w:rsidR="002D02AE" w:rsidRPr="002D02AE" w:rsidRDefault="002D02AE" w:rsidP="00C23810">
      <w:pPr>
        <w:rPr>
          <w:lang w:val="en-US"/>
        </w:rPr>
      </w:pPr>
      <w:r w:rsidRPr="002D02AE">
        <w:rPr>
          <w:b/>
          <w:bCs/>
          <w:lang w:val="en-US"/>
        </w:rPr>
        <w:t>GIZ</w:t>
      </w:r>
      <w:r w:rsidRPr="002D02AE">
        <w:rPr>
          <w:lang w:val="en-US"/>
        </w:rPr>
        <w:t>: German Development Corporation</w:t>
      </w:r>
    </w:p>
    <w:p w14:paraId="255A0E47" w14:textId="77777777" w:rsidR="002D02AE" w:rsidRPr="002D02AE" w:rsidRDefault="002D02AE" w:rsidP="00C23810">
      <w:pPr>
        <w:rPr>
          <w:lang w:val="en-US"/>
        </w:rPr>
      </w:pPr>
      <w:r w:rsidRPr="002D02AE">
        <w:rPr>
          <w:b/>
          <w:bCs/>
          <w:lang w:val="en-US"/>
        </w:rPr>
        <w:t>IFC</w:t>
      </w:r>
      <w:r w:rsidRPr="002D02AE">
        <w:rPr>
          <w:lang w:val="en-US"/>
        </w:rPr>
        <w:t>: International Finance Corporation</w:t>
      </w:r>
    </w:p>
    <w:p w14:paraId="0AE27CDB" w14:textId="77777777" w:rsidR="002D02AE" w:rsidRPr="002D02AE" w:rsidRDefault="002D02AE" w:rsidP="00C23810">
      <w:pPr>
        <w:rPr>
          <w:lang w:val="en-US"/>
        </w:rPr>
      </w:pPr>
      <w:r w:rsidRPr="002D02AE">
        <w:rPr>
          <w:b/>
          <w:bCs/>
          <w:lang w:val="en-US"/>
        </w:rPr>
        <w:t>IKI</w:t>
      </w:r>
      <w:r w:rsidRPr="002D02AE">
        <w:rPr>
          <w:lang w:val="en-US"/>
        </w:rPr>
        <w:t>: International Climate Initiative</w:t>
      </w:r>
    </w:p>
    <w:p w14:paraId="2DDCA6D7" w14:textId="77777777" w:rsidR="002D02AE" w:rsidRPr="002D02AE" w:rsidRDefault="002D02AE" w:rsidP="00C23810">
      <w:pPr>
        <w:rPr>
          <w:lang w:val="en-US"/>
        </w:rPr>
      </w:pPr>
      <w:r w:rsidRPr="002D02AE">
        <w:rPr>
          <w:b/>
          <w:bCs/>
          <w:lang w:val="en-US"/>
        </w:rPr>
        <w:t>NAWASA</w:t>
      </w:r>
      <w:r w:rsidRPr="002D02AE">
        <w:rPr>
          <w:lang w:val="en-US"/>
        </w:rPr>
        <w:t>: National Water and Sewage Authority</w:t>
      </w:r>
    </w:p>
    <w:p w14:paraId="5A892F79" w14:textId="77777777" w:rsidR="002D02AE" w:rsidRPr="002D02AE" w:rsidRDefault="002D02AE" w:rsidP="002D02AE">
      <w:pPr>
        <w:rPr>
          <w:lang w:val="en-US"/>
        </w:rPr>
      </w:pPr>
    </w:p>
    <w:p w14:paraId="2385891B" w14:textId="7D5EFC2F" w:rsidR="007F27FE" w:rsidRPr="00A9338F" w:rsidRDefault="007F27FE" w:rsidP="00135540">
      <w:pPr>
        <w:pStyle w:val="Heading2"/>
        <w:numPr>
          <w:ilvl w:val="0"/>
          <w:numId w:val="32"/>
        </w:numPr>
        <w:jc w:val="both"/>
        <w:rPr>
          <w:lang w:val="en-US"/>
        </w:rPr>
      </w:pPr>
      <w:r w:rsidRPr="00A9338F">
        <w:rPr>
          <w:lang w:val="en-US"/>
        </w:rPr>
        <w:t>Project Context</w:t>
      </w:r>
      <w:bookmarkEnd w:id="0"/>
    </w:p>
    <w:p w14:paraId="54E9894E" w14:textId="77777777" w:rsidR="007F27FE" w:rsidRDefault="007F27FE" w:rsidP="007F27FE">
      <w:pPr>
        <w:jc w:val="both"/>
        <w:rPr>
          <w:lang w:val="en-US"/>
        </w:rPr>
      </w:pPr>
      <w:r w:rsidRPr="0086591F">
        <w:rPr>
          <w:lang w:val="en-US"/>
        </w:rPr>
        <w:t xml:space="preserve">The Government of Grenada, in partnership with the German Development Corporation (GIZ), is implementing the Project Climate-Resilient Water Sector in Grenada (G-CREWS). The project is jointly financed by the Green Climate Fund (GCF) and the German Federal Ministry for the Environment, Nature Conservation and Nuclear Safety (BMU) under its International Climate Initiative (IKI), and the Government of Grenada, with the main objective of increasing systemic climate change resilience in Grenada’s water sector. </w:t>
      </w:r>
    </w:p>
    <w:p w14:paraId="1E454D87" w14:textId="77777777" w:rsidR="007F27FE" w:rsidRPr="00A9338F" w:rsidRDefault="007F27FE" w:rsidP="007F27FE">
      <w:pPr>
        <w:jc w:val="both"/>
        <w:rPr>
          <w:lang w:val="en-US"/>
        </w:rPr>
      </w:pPr>
      <w:r w:rsidRPr="0086591F">
        <w:rPr>
          <w:lang w:val="en-US"/>
        </w:rPr>
        <w:t>Over a 6-year period, the Government of Grenada, the Grenada Development Bank and the National Water and Sewage Authority (NAWASA) in partnership with the German Development Corporation (GIZ) implement</w:t>
      </w:r>
      <w:r>
        <w:rPr>
          <w:lang w:val="en-US"/>
        </w:rPr>
        <w:t>s</w:t>
      </w:r>
      <w:r w:rsidRPr="0086591F">
        <w:rPr>
          <w:lang w:val="en-US"/>
        </w:rPr>
        <w:t xml:space="preserve"> the project’s five components. The project’s holistic approach addresses two main climate risks and vulnerabilities of Grenada: freshwater availability and disaster preparedness. </w:t>
      </w:r>
      <w:r w:rsidRPr="00A9338F">
        <w:rPr>
          <w:lang w:val="en-US"/>
        </w:rPr>
        <w:t>Other Caribbean communities share these vulnerabilities, rendering this project a model for regional application.</w:t>
      </w:r>
    </w:p>
    <w:p w14:paraId="63BC05DD" w14:textId="77777777" w:rsidR="007F27FE" w:rsidRPr="00A9338F" w:rsidRDefault="007F27FE" w:rsidP="007F27FE">
      <w:pPr>
        <w:jc w:val="both"/>
        <w:rPr>
          <w:lang w:val="en-US"/>
        </w:rPr>
      </w:pPr>
      <w:r w:rsidRPr="00A9338F">
        <w:rPr>
          <w:lang w:val="en-US"/>
        </w:rPr>
        <w:t>To achieve its objective, the project supports the water sector’s comprehensive transformation on multiple levels, which represents a nationwide ‘paradigm shift’ for Grenada’s overall resilience. This paradigm shift will include citizens and businesses as water users, the public sector as provider of potable water and infrastructure, and behavioral changes triggered through appropriate governance, regulation, economic incentives and raising awareness.</w:t>
      </w:r>
    </w:p>
    <w:p w14:paraId="3F39D69D" w14:textId="77777777" w:rsidR="007F27FE" w:rsidRPr="00A9338F" w:rsidRDefault="007F27FE" w:rsidP="007F27FE">
      <w:pPr>
        <w:jc w:val="both"/>
        <w:rPr>
          <w:lang w:val="en-US"/>
        </w:rPr>
      </w:pPr>
      <w:r w:rsidRPr="00A9338F">
        <w:rPr>
          <w:lang w:val="en-US"/>
        </w:rPr>
        <w:t>This translates into the following five outputs (components):</w:t>
      </w:r>
    </w:p>
    <w:p w14:paraId="28EB0B05" w14:textId="77777777" w:rsidR="007F27FE" w:rsidRPr="00A9338F" w:rsidRDefault="007F27FE" w:rsidP="007F27FE">
      <w:pPr>
        <w:pStyle w:val="ListParagraph"/>
        <w:numPr>
          <w:ilvl w:val="0"/>
          <w:numId w:val="18"/>
        </w:numPr>
        <w:spacing w:before="60" w:after="60"/>
        <w:ind w:left="1060" w:hanging="703"/>
        <w:contextualSpacing w:val="0"/>
        <w:jc w:val="both"/>
        <w:rPr>
          <w:lang w:val="en-US"/>
        </w:rPr>
      </w:pPr>
      <w:r w:rsidRPr="00A9338F">
        <w:rPr>
          <w:lang w:val="en-US"/>
        </w:rPr>
        <w:t xml:space="preserve">Climate-Resilient Water Governance </w:t>
      </w:r>
    </w:p>
    <w:p w14:paraId="5C128B51" w14:textId="77777777" w:rsidR="007F27FE" w:rsidRPr="00A9338F" w:rsidRDefault="007F27FE" w:rsidP="007F27FE">
      <w:pPr>
        <w:pStyle w:val="ListParagraph"/>
        <w:numPr>
          <w:ilvl w:val="0"/>
          <w:numId w:val="18"/>
        </w:numPr>
        <w:spacing w:before="60" w:after="60"/>
        <w:ind w:left="1060" w:hanging="703"/>
        <w:contextualSpacing w:val="0"/>
        <w:jc w:val="both"/>
        <w:rPr>
          <w:lang w:val="en-US"/>
        </w:rPr>
      </w:pPr>
      <w:r w:rsidRPr="00A9338F">
        <w:rPr>
          <w:lang w:val="en-US"/>
        </w:rPr>
        <w:t xml:space="preserve">Climate-Resilient Water Users </w:t>
      </w:r>
    </w:p>
    <w:p w14:paraId="4E778DB9" w14:textId="77777777" w:rsidR="007F27FE" w:rsidRPr="00A9338F" w:rsidRDefault="007F27FE" w:rsidP="007F27FE">
      <w:pPr>
        <w:pStyle w:val="ListParagraph"/>
        <w:numPr>
          <w:ilvl w:val="0"/>
          <w:numId w:val="18"/>
        </w:numPr>
        <w:spacing w:before="60" w:after="60"/>
        <w:ind w:left="1060" w:hanging="703"/>
        <w:contextualSpacing w:val="0"/>
        <w:jc w:val="both"/>
        <w:rPr>
          <w:lang w:val="en-US"/>
        </w:rPr>
      </w:pPr>
      <w:r w:rsidRPr="00A9338F">
        <w:rPr>
          <w:lang w:val="en-US"/>
        </w:rPr>
        <w:t>Climate-Resilient Water Supply System</w:t>
      </w:r>
    </w:p>
    <w:p w14:paraId="5B84D03E" w14:textId="77777777" w:rsidR="007F27FE" w:rsidRPr="00A9338F" w:rsidRDefault="007F27FE" w:rsidP="007F27FE">
      <w:pPr>
        <w:pStyle w:val="ListParagraph"/>
        <w:numPr>
          <w:ilvl w:val="0"/>
          <w:numId w:val="18"/>
        </w:numPr>
        <w:spacing w:before="60" w:after="60"/>
        <w:ind w:left="1060" w:hanging="703"/>
        <w:contextualSpacing w:val="0"/>
        <w:jc w:val="both"/>
        <w:rPr>
          <w:lang w:val="en-US"/>
        </w:rPr>
      </w:pPr>
      <w:r w:rsidRPr="00A9338F">
        <w:rPr>
          <w:lang w:val="en-US"/>
        </w:rPr>
        <w:t xml:space="preserve">Additional Contributions of the Water Sector to Grenada’s NDC </w:t>
      </w:r>
    </w:p>
    <w:p w14:paraId="1135B2CB" w14:textId="77777777" w:rsidR="007F27FE" w:rsidRPr="00A9338F" w:rsidRDefault="007F27FE" w:rsidP="007F27FE">
      <w:pPr>
        <w:pStyle w:val="ListParagraph"/>
        <w:numPr>
          <w:ilvl w:val="0"/>
          <w:numId w:val="18"/>
        </w:numPr>
        <w:spacing w:before="60" w:after="60"/>
        <w:ind w:left="1060" w:hanging="703"/>
        <w:contextualSpacing w:val="0"/>
        <w:jc w:val="both"/>
        <w:rPr>
          <w:lang w:val="en-US"/>
        </w:rPr>
      </w:pPr>
      <w:r w:rsidRPr="00A9338F">
        <w:rPr>
          <w:lang w:val="en-US"/>
        </w:rPr>
        <w:t xml:space="preserve">Regional learning and replication </w:t>
      </w:r>
    </w:p>
    <w:p w14:paraId="5418C82C" w14:textId="027ABCD0" w:rsidR="007F27FE" w:rsidRPr="00A9338F" w:rsidRDefault="007F27FE" w:rsidP="007F27FE">
      <w:pPr>
        <w:jc w:val="both"/>
        <w:rPr>
          <w:lang w:val="en-US"/>
        </w:rPr>
      </w:pPr>
      <w:r w:rsidRPr="00A9338F">
        <w:rPr>
          <w:lang w:val="en-US"/>
        </w:rPr>
        <w:t xml:space="preserve">The contractor will contribute to the achievement of output 3, Climate-Resilient Water Supply Systems. One of the project’s identified measure is </w:t>
      </w:r>
      <w:r>
        <w:rPr>
          <w:lang w:val="en-US"/>
        </w:rPr>
        <w:t>the increase of the water resources</w:t>
      </w:r>
      <w:r w:rsidRPr="00A9338F">
        <w:rPr>
          <w:lang w:val="en-US"/>
        </w:rPr>
        <w:t xml:space="preserve"> yield for the </w:t>
      </w:r>
      <w:r w:rsidR="002929CA">
        <w:rPr>
          <w:lang w:val="en-US"/>
        </w:rPr>
        <w:t>urban and semi-urban developments in the s</w:t>
      </w:r>
      <w:r>
        <w:rPr>
          <w:lang w:val="en-US"/>
        </w:rPr>
        <w:t>outh-east</w:t>
      </w:r>
      <w:r w:rsidRPr="00A9338F">
        <w:rPr>
          <w:lang w:val="en-US"/>
        </w:rPr>
        <w:t xml:space="preserve"> of the island. The Government of Grenada plans to use G-CREWS funding to build </w:t>
      </w:r>
      <w:r>
        <w:rPr>
          <w:lang w:val="en-US"/>
        </w:rPr>
        <w:t xml:space="preserve">a water transfer </w:t>
      </w:r>
      <w:r w:rsidR="002929CA">
        <w:rPr>
          <w:lang w:val="en-US"/>
        </w:rPr>
        <w:t>pipe</w:t>
      </w:r>
      <w:r>
        <w:rPr>
          <w:lang w:val="en-US"/>
        </w:rPr>
        <w:t xml:space="preserve">line from the Great River to </w:t>
      </w:r>
      <w:r w:rsidRPr="00A9338F">
        <w:rPr>
          <w:lang w:val="en-US"/>
        </w:rPr>
        <w:t xml:space="preserve">the </w:t>
      </w:r>
      <w:r>
        <w:rPr>
          <w:lang w:val="en-US"/>
        </w:rPr>
        <w:t xml:space="preserve">Les Avocats </w:t>
      </w:r>
      <w:r w:rsidRPr="00A9338F">
        <w:rPr>
          <w:lang w:val="en-US"/>
        </w:rPr>
        <w:t xml:space="preserve">and Petit </w:t>
      </w:r>
      <w:proofErr w:type="spellStart"/>
      <w:r w:rsidRPr="00A9338F">
        <w:rPr>
          <w:lang w:val="en-US"/>
        </w:rPr>
        <w:t>Etang</w:t>
      </w:r>
      <w:proofErr w:type="spellEnd"/>
      <w:r w:rsidRPr="00A9338F">
        <w:rPr>
          <w:lang w:val="en-US"/>
        </w:rPr>
        <w:t xml:space="preserve"> </w:t>
      </w:r>
      <w:r w:rsidR="002929CA">
        <w:rPr>
          <w:lang w:val="en-US"/>
        </w:rPr>
        <w:t xml:space="preserve">catchment </w:t>
      </w:r>
      <w:r w:rsidRPr="00A9338F">
        <w:rPr>
          <w:lang w:val="en-US"/>
        </w:rPr>
        <w:t xml:space="preserve">area. </w:t>
      </w:r>
    </w:p>
    <w:p w14:paraId="55C42330" w14:textId="62CD3A85" w:rsidR="007F27FE" w:rsidRDefault="007F27FE" w:rsidP="007F27FE">
      <w:pPr>
        <w:jc w:val="both"/>
        <w:rPr>
          <w:lang w:val="en-US"/>
        </w:rPr>
      </w:pPr>
      <w:r w:rsidRPr="00A9338F">
        <w:rPr>
          <w:lang w:val="en-US"/>
        </w:rPr>
        <w:lastRenderedPageBreak/>
        <w:t xml:space="preserve">The existing </w:t>
      </w:r>
      <w:r>
        <w:rPr>
          <w:lang w:val="en-US"/>
        </w:rPr>
        <w:t xml:space="preserve">Les Avocats </w:t>
      </w:r>
      <w:r w:rsidRPr="00A9338F">
        <w:rPr>
          <w:lang w:val="en-US"/>
        </w:rPr>
        <w:t xml:space="preserve">Reservoir and the small existing dams in the Petit </w:t>
      </w:r>
      <w:proofErr w:type="spellStart"/>
      <w:r w:rsidRPr="00A9338F">
        <w:rPr>
          <w:lang w:val="en-US"/>
        </w:rPr>
        <w:t>Etang</w:t>
      </w:r>
      <w:proofErr w:type="spellEnd"/>
      <w:r w:rsidRPr="00A9338F">
        <w:rPr>
          <w:lang w:val="en-US"/>
        </w:rPr>
        <w:t xml:space="preserve"> </w:t>
      </w:r>
      <w:r w:rsidR="00A84C26">
        <w:rPr>
          <w:lang w:val="en-US"/>
        </w:rPr>
        <w:t>catchment</w:t>
      </w:r>
      <w:r w:rsidRPr="00A9338F">
        <w:rPr>
          <w:lang w:val="en-US"/>
        </w:rPr>
        <w:t xml:space="preserve"> are important factors in the water supply system for the </w:t>
      </w:r>
      <w:r>
        <w:rPr>
          <w:lang w:val="en-US"/>
        </w:rPr>
        <w:t>South-east</w:t>
      </w:r>
      <w:r w:rsidRPr="00A9338F">
        <w:rPr>
          <w:lang w:val="en-US"/>
        </w:rPr>
        <w:t xml:space="preserve"> of the island providing water to approximately 11.400 people. The safe yield of the existing reservoirs is </w:t>
      </w:r>
      <w:r>
        <w:rPr>
          <w:lang w:val="en-US"/>
        </w:rPr>
        <w:t xml:space="preserve">currently </w:t>
      </w:r>
      <w:r w:rsidRPr="00A9338F">
        <w:rPr>
          <w:lang w:val="en-US"/>
        </w:rPr>
        <w:t>not sufficient to fulfil this task.</w:t>
      </w:r>
    </w:p>
    <w:p w14:paraId="6C02CF29" w14:textId="13D00F4A" w:rsidR="00F804CC" w:rsidRPr="00F804CC" w:rsidRDefault="00F804CC" w:rsidP="00F804CC">
      <w:pPr>
        <w:jc w:val="both"/>
        <w:rPr>
          <w:lang w:val="en-US"/>
        </w:rPr>
      </w:pPr>
      <w:r w:rsidRPr="00F804CC">
        <w:rPr>
          <w:lang w:val="en-US"/>
        </w:rPr>
        <w:t>To improve the safe yield of Les Avocats Reservoir a water transfer</w:t>
      </w:r>
      <w:r w:rsidR="00A84C26">
        <w:rPr>
          <w:lang w:val="en-US"/>
        </w:rPr>
        <w:t xml:space="preserve"> pipeline</w:t>
      </w:r>
      <w:r w:rsidRPr="00F804CC">
        <w:rPr>
          <w:lang w:val="en-US"/>
        </w:rPr>
        <w:t xml:space="preserve"> is planned to pump water in the dry seasons (16l/s </w:t>
      </w:r>
      <w:r w:rsidR="00A84C26">
        <w:rPr>
          <w:lang w:val="en-US"/>
        </w:rPr>
        <w:t>during max. 9</w:t>
      </w:r>
      <w:r w:rsidRPr="00F804CC">
        <w:rPr>
          <w:lang w:val="en-US"/>
        </w:rPr>
        <w:t xml:space="preserve">0 days a year) from the Great River to the Upper </w:t>
      </w:r>
      <w:proofErr w:type="spellStart"/>
      <w:r w:rsidRPr="00F804CC">
        <w:rPr>
          <w:lang w:val="en-US"/>
        </w:rPr>
        <w:t>Bacolet</w:t>
      </w:r>
      <w:proofErr w:type="spellEnd"/>
      <w:r w:rsidRPr="00F804CC">
        <w:rPr>
          <w:lang w:val="en-US"/>
        </w:rPr>
        <w:t xml:space="preserve"> catchment. </w:t>
      </w:r>
    </w:p>
    <w:p w14:paraId="42D25061" w14:textId="583D1196" w:rsidR="00F804CC" w:rsidRDefault="00F804CC" w:rsidP="00F804CC">
      <w:pPr>
        <w:jc w:val="both"/>
        <w:rPr>
          <w:lang w:val="en-US"/>
        </w:rPr>
      </w:pPr>
      <w:r w:rsidRPr="00F804CC">
        <w:rPr>
          <w:lang w:val="en-US"/>
        </w:rPr>
        <w:t xml:space="preserve">Water is collected in a </w:t>
      </w:r>
      <w:r w:rsidR="00A84C26">
        <w:rPr>
          <w:lang w:val="en-US"/>
        </w:rPr>
        <w:t xml:space="preserve">lateral </w:t>
      </w:r>
      <w:r w:rsidRPr="00F804CC">
        <w:rPr>
          <w:lang w:val="en-US"/>
        </w:rPr>
        <w:t>water intake below the Seven Sisters waterfalls in the Great River</w:t>
      </w:r>
      <w:r w:rsidR="00A84C26">
        <w:rPr>
          <w:lang w:val="en-US"/>
        </w:rPr>
        <w:t xml:space="preserve">. Right after the intake there will be a booster pump </w:t>
      </w:r>
      <w:r w:rsidRPr="00F804CC">
        <w:rPr>
          <w:lang w:val="en-US"/>
        </w:rPr>
        <w:t xml:space="preserve">station </w:t>
      </w:r>
      <w:r w:rsidR="00A84C26">
        <w:rPr>
          <w:lang w:val="en-US"/>
        </w:rPr>
        <w:t xml:space="preserve">which </w:t>
      </w:r>
      <w:r w:rsidRPr="00F804CC">
        <w:rPr>
          <w:lang w:val="en-US"/>
        </w:rPr>
        <w:t>will pump the water following the main road</w:t>
      </w:r>
      <w:r w:rsidR="00A84C26">
        <w:rPr>
          <w:lang w:val="en-US"/>
        </w:rPr>
        <w:t xml:space="preserve"> up to the antenna point at 1910. </w:t>
      </w:r>
      <w:r w:rsidRPr="00F804CC">
        <w:rPr>
          <w:lang w:val="en-US"/>
        </w:rPr>
        <w:t xml:space="preserve">From there, the water is </w:t>
      </w:r>
      <w:r w:rsidR="00A84C26">
        <w:rPr>
          <w:lang w:val="en-US"/>
        </w:rPr>
        <w:t>gra</w:t>
      </w:r>
      <w:r w:rsidRPr="00F804CC">
        <w:rPr>
          <w:lang w:val="en-US"/>
        </w:rPr>
        <w:t>vity fed to the Les Avocat Reservoir</w:t>
      </w:r>
      <w:r w:rsidR="00A84C26">
        <w:rPr>
          <w:lang w:val="en-US"/>
        </w:rPr>
        <w:t xml:space="preserve">. </w:t>
      </w:r>
      <w:r w:rsidRPr="00F804CC">
        <w:rPr>
          <w:lang w:val="en-US"/>
        </w:rPr>
        <w:t xml:space="preserve"> </w:t>
      </w:r>
    </w:p>
    <w:p w14:paraId="7937A9DE" w14:textId="659CE7B7" w:rsidR="00F804CC" w:rsidRPr="00F804CC" w:rsidRDefault="00F804CC" w:rsidP="00F804CC">
      <w:pPr>
        <w:jc w:val="both"/>
        <w:rPr>
          <w:lang w:val="en-US"/>
        </w:rPr>
      </w:pPr>
      <w:r w:rsidRPr="00F804CC">
        <w:rPr>
          <w:lang w:val="en-US"/>
        </w:rPr>
        <w:t xml:space="preserve">The entire roadside from the Grand </w:t>
      </w:r>
      <w:proofErr w:type="spellStart"/>
      <w:r w:rsidRPr="00F804CC">
        <w:rPr>
          <w:lang w:val="en-US"/>
        </w:rPr>
        <w:t>Etang</w:t>
      </w:r>
      <w:proofErr w:type="spellEnd"/>
      <w:r w:rsidRPr="00F804CC">
        <w:rPr>
          <w:lang w:val="en-US"/>
        </w:rPr>
        <w:t xml:space="preserve"> Main Road up to 1910 where the utility antennas are erected is part of the project site. The site extends southward through the Grand </w:t>
      </w:r>
      <w:proofErr w:type="spellStart"/>
      <w:r w:rsidRPr="00F804CC">
        <w:rPr>
          <w:lang w:val="en-US"/>
        </w:rPr>
        <w:t>Etang</w:t>
      </w:r>
      <w:proofErr w:type="spellEnd"/>
      <w:r w:rsidRPr="00F804CC">
        <w:rPr>
          <w:lang w:val="en-US"/>
        </w:rPr>
        <w:t xml:space="preserve"> Forest Reserve</w:t>
      </w:r>
      <w:r w:rsidR="00A84C26">
        <w:rPr>
          <w:lang w:val="en-US"/>
        </w:rPr>
        <w:t xml:space="preserve">, crossing several steep slopes </w:t>
      </w:r>
      <w:r w:rsidRPr="00F804CC">
        <w:rPr>
          <w:lang w:val="en-US"/>
        </w:rPr>
        <w:t xml:space="preserve">unto the Les Avocats Reservoir. The ecological study area for the proposed project comprises the Great River around the point of abstraction to include the adjacent riparian, </w:t>
      </w:r>
      <w:r w:rsidR="00C76DAC">
        <w:rPr>
          <w:lang w:val="en-US"/>
        </w:rPr>
        <w:t xml:space="preserve">the location of the pump station, </w:t>
      </w:r>
      <w:r w:rsidRPr="00F804CC">
        <w:rPr>
          <w:lang w:val="en-US"/>
        </w:rPr>
        <w:t xml:space="preserve">the roadway along the proposed pipe route to be installed, and parts of the Grand </w:t>
      </w:r>
      <w:proofErr w:type="spellStart"/>
      <w:r w:rsidRPr="00F804CC">
        <w:rPr>
          <w:lang w:val="en-US"/>
        </w:rPr>
        <w:t>Etang</w:t>
      </w:r>
      <w:proofErr w:type="spellEnd"/>
      <w:r w:rsidRPr="00F804CC">
        <w:rPr>
          <w:lang w:val="en-US"/>
        </w:rPr>
        <w:t xml:space="preserve"> Forest Reserve where the transmission pipes are to be placed. The Grand </w:t>
      </w:r>
      <w:proofErr w:type="spellStart"/>
      <w:r w:rsidRPr="00F804CC">
        <w:rPr>
          <w:lang w:val="en-US"/>
        </w:rPr>
        <w:t>Etang</w:t>
      </w:r>
      <w:proofErr w:type="spellEnd"/>
      <w:r w:rsidRPr="00F804CC">
        <w:rPr>
          <w:lang w:val="en-US"/>
        </w:rPr>
        <w:t xml:space="preserve"> Lake and adjacent wetland ecosystem and the Adelphi/</w:t>
      </w:r>
      <w:proofErr w:type="spellStart"/>
      <w:r w:rsidRPr="00F804CC">
        <w:rPr>
          <w:lang w:val="en-US"/>
        </w:rPr>
        <w:t>Gangadee</w:t>
      </w:r>
      <w:proofErr w:type="spellEnd"/>
      <w:r w:rsidRPr="00F804CC">
        <w:rPr>
          <w:lang w:val="en-US"/>
        </w:rPr>
        <w:t xml:space="preserve"> Waterfall are excluded from the ecological study area since they are not influenced and/or affected by the intervention.</w:t>
      </w:r>
    </w:p>
    <w:p w14:paraId="43D27DCC" w14:textId="77777777" w:rsidR="00F804CC" w:rsidRDefault="00F804CC" w:rsidP="007F27FE">
      <w:pPr>
        <w:jc w:val="both"/>
        <w:rPr>
          <w:lang w:val="en-US"/>
        </w:rPr>
      </w:pPr>
    </w:p>
    <w:p w14:paraId="0BCA26FB" w14:textId="24B1989A" w:rsidR="007F27FE" w:rsidRDefault="007F27FE" w:rsidP="00135540">
      <w:pPr>
        <w:pStyle w:val="Heading2"/>
        <w:numPr>
          <w:ilvl w:val="0"/>
          <w:numId w:val="32"/>
        </w:numPr>
        <w:jc w:val="both"/>
        <w:rPr>
          <w:lang w:val="en-US"/>
        </w:rPr>
      </w:pPr>
      <w:r>
        <w:rPr>
          <w:lang w:val="en-US"/>
        </w:rPr>
        <w:t>Environmental Context</w:t>
      </w:r>
    </w:p>
    <w:p w14:paraId="61DCC294" w14:textId="4891E951" w:rsidR="007F27FE" w:rsidRPr="00B92A8E" w:rsidRDefault="007F27FE" w:rsidP="007F27FE">
      <w:pPr>
        <w:jc w:val="both"/>
        <w:rPr>
          <w:lang w:val="en-US"/>
        </w:rPr>
      </w:pPr>
      <w:r w:rsidRPr="00B92A8E">
        <w:rPr>
          <w:lang w:val="en-US"/>
        </w:rPr>
        <w:t xml:space="preserve">The Government of Grenada envisions that the use of natural resources fulfils the basic needs of the people and development of the nation in equilibrium with economic growth, technology development, environmental protection and social equity. </w:t>
      </w:r>
    </w:p>
    <w:p w14:paraId="200B0573" w14:textId="20B0A6EA" w:rsidR="007F27FE" w:rsidRDefault="007F27FE" w:rsidP="007F27FE">
      <w:pPr>
        <w:jc w:val="both"/>
        <w:rPr>
          <w:lang w:val="en-US"/>
        </w:rPr>
      </w:pPr>
      <w:r w:rsidRPr="00B92A8E">
        <w:rPr>
          <w:lang w:val="en-US"/>
        </w:rPr>
        <w:t>NAWASA will be responsible for ensuring that all activities of the Project are implemented in a manner consistent with international environmental standards and applicable Grenadian environmental laws and regulations. NAWASA will also have responsibility for overseeing the implementation of the Environmental and Social Management Plan (ESMP) for all activities in the Project and verifying that the contractors will implement relevant mitigation measures as defined in and required by the ESMP</w:t>
      </w:r>
      <w:r>
        <w:rPr>
          <w:lang w:val="en-US"/>
        </w:rPr>
        <w:t>.</w:t>
      </w:r>
    </w:p>
    <w:p w14:paraId="0E3F21F3" w14:textId="2EFD4044" w:rsidR="00F804CC" w:rsidRDefault="007F27FE" w:rsidP="007F27FE">
      <w:pPr>
        <w:jc w:val="both"/>
        <w:rPr>
          <w:lang w:val="en-US"/>
        </w:rPr>
      </w:pPr>
      <w:r>
        <w:rPr>
          <w:lang w:val="en-US"/>
        </w:rPr>
        <w:t xml:space="preserve">The ESMP of the 7 Sister water transfer project was developed and published and outlines the requirements for implementation. </w:t>
      </w:r>
      <w:r w:rsidR="00F804CC" w:rsidRPr="00F804CC">
        <w:rPr>
          <w:lang w:val="en-US"/>
        </w:rPr>
        <w:t>Performance Standard 6, recognizes that protecting and conserving biodiversity, maintaining ecosystem services and sustainable management living natural resources are fundamental to sustainable development (IFC, 2012). Measures present</w:t>
      </w:r>
      <w:r w:rsidR="00EF787B">
        <w:rPr>
          <w:lang w:val="en-US"/>
        </w:rPr>
        <w:t xml:space="preserve">ed </w:t>
      </w:r>
      <w:r w:rsidR="00F804CC" w:rsidRPr="00F804CC">
        <w:rPr>
          <w:lang w:val="en-US"/>
        </w:rPr>
        <w:t xml:space="preserve">should comply with the Convention on Biological Diversity and Grenada’s National Biodiversity Strategy and Action Plan, the Revised Forest Policy, and related policy and legal instruments. </w:t>
      </w:r>
    </w:p>
    <w:p w14:paraId="29AD3989" w14:textId="5B3CA743" w:rsidR="007F27FE" w:rsidRDefault="007F27FE" w:rsidP="007F27FE">
      <w:pPr>
        <w:jc w:val="both"/>
        <w:rPr>
          <w:lang w:val="en-US"/>
        </w:rPr>
      </w:pPr>
      <w:r>
        <w:rPr>
          <w:lang w:val="en-US"/>
        </w:rPr>
        <w:t>One of the interventions makes provisions for the development and implementation of</w:t>
      </w:r>
      <w:r w:rsidRPr="007F27FE">
        <w:rPr>
          <w:lang w:val="en-US"/>
        </w:rPr>
        <w:t xml:space="preserve"> a Terrestrial Biodiversity Management Plan designed to protect and conserve forest vegetation, habitats, and wildlife</w:t>
      </w:r>
      <w:r w:rsidR="00F804CC">
        <w:rPr>
          <w:lang w:val="en-US"/>
        </w:rPr>
        <w:t>.</w:t>
      </w:r>
    </w:p>
    <w:p w14:paraId="2EAEAF99" w14:textId="047C4CE1" w:rsidR="00F804CC" w:rsidRPr="00F804CC" w:rsidRDefault="00F804CC" w:rsidP="00F804CC">
      <w:pPr>
        <w:jc w:val="both"/>
        <w:rPr>
          <w:b/>
          <w:bCs/>
          <w:lang w:val="en-US"/>
        </w:rPr>
      </w:pPr>
      <w:r w:rsidRPr="008F3E96">
        <w:rPr>
          <w:b/>
          <w:bCs/>
          <w:lang w:val="en-US"/>
        </w:rPr>
        <w:t>This consultancy seeks to e</w:t>
      </w:r>
      <w:r w:rsidRPr="00F804CC">
        <w:rPr>
          <w:b/>
          <w:bCs/>
          <w:lang w:val="en-US"/>
        </w:rPr>
        <w:t xml:space="preserve">ngage the services of an ecologist to monitor the forest for critical life cycle activities of terrestrial animals </w:t>
      </w:r>
      <w:r w:rsidRPr="008F3E96">
        <w:rPr>
          <w:b/>
          <w:bCs/>
          <w:lang w:val="en-US"/>
        </w:rPr>
        <w:t>and thereby to limiting</w:t>
      </w:r>
      <w:r w:rsidRPr="00F804CC">
        <w:rPr>
          <w:b/>
          <w:bCs/>
          <w:lang w:val="en-US"/>
        </w:rPr>
        <w:t xml:space="preserve"> direct impact to wildlife in vulnerable life cycle periods</w:t>
      </w:r>
      <w:r w:rsidRPr="008F3E96">
        <w:rPr>
          <w:b/>
          <w:bCs/>
          <w:lang w:val="en-US"/>
        </w:rPr>
        <w:t xml:space="preserve"> during the construction of the </w:t>
      </w:r>
      <w:r w:rsidR="0001194C" w:rsidRPr="008F3E96">
        <w:rPr>
          <w:b/>
          <w:bCs/>
          <w:lang w:val="en-US"/>
        </w:rPr>
        <w:t>7-sister</w:t>
      </w:r>
      <w:r w:rsidRPr="008F3E96">
        <w:rPr>
          <w:b/>
          <w:bCs/>
          <w:lang w:val="en-US"/>
        </w:rPr>
        <w:t xml:space="preserve"> water transfer pipeline.</w:t>
      </w:r>
    </w:p>
    <w:p w14:paraId="5E6B23BF" w14:textId="77777777" w:rsidR="00F804CC" w:rsidRDefault="00F804CC" w:rsidP="007F27FE">
      <w:pPr>
        <w:jc w:val="both"/>
        <w:rPr>
          <w:lang w:val="en-US"/>
        </w:rPr>
      </w:pPr>
    </w:p>
    <w:p w14:paraId="30B722C3" w14:textId="3A4A92F2" w:rsidR="007F27FE" w:rsidRPr="007F27FE" w:rsidRDefault="008F3E96" w:rsidP="00135540">
      <w:pPr>
        <w:pStyle w:val="Heading2"/>
        <w:numPr>
          <w:ilvl w:val="0"/>
          <w:numId w:val="32"/>
        </w:numPr>
        <w:jc w:val="both"/>
        <w:rPr>
          <w:lang w:val="en-US"/>
        </w:rPr>
      </w:pPr>
      <w:r>
        <w:rPr>
          <w:lang w:val="en-US"/>
        </w:rPr>
        <w:lastRenderedPageBreak/>
        <w:t>Scope of Work</w:t>
      </w:r>
    </w:p>
    <w:p w14:paraId="63A6B4FB" w14:textId="77777777" w:rsidR="001B1B1F" w:rsidRPr="001B1B1F" w:rsidRDefault="001B1B1F" w:rsidP="00F804CC">
      <w:pPr>
        <w:ind w:right="80"/>
        <w:jc w:val="both"/>
        <w:rPr>
          <w:lang w:val="en-US"/>
        </w:rPr>
      </w:pPr>
      <w:r w:rsidRPr="001B1B1F">
        <w:rPr>
          <w:lang w:val="en-US"/>
        </w:rPr>
        <w:t>The consultant will be responsible for the following tasks:</w:t>
      </w:r>
    </w:p>
    <w:p w14:paraId="4099D07B" w14:textId="1474DD01" w:rsidR="006C7BD1" w:rsidRDefault="006C7BD1" w:rsidP="00F804CC">
      <w:pPr>
        <w:ind w:right="80"/>
        <w:jc w:val="both"/>
        <w:rPr>
          <w:b/>
          <w:bCs/>
          <w:lang w:val="en-US"/>
        </w:rPr>
      </w:pPr>
      <w:r w:rsidRPr="00B6519B">
        <w:rPr>
          <w:b/>
          <w:bCs/>
          <w:lang w:val="en-US"/>
        </w:rPr>
        <w:t xml:space="preserve">Development </w:t>
      </w:r>
      <w:r w:rsidR="00B6519B" w:rsidRPr="00B6519B">
        <w:rPr>
          <w:b/>
          <w:bCs/>
          <w:lang w:val="en-US"/>
        </w:rPr>
        <w:t xml:space="preserve">and Monitoring </w:t>
      </w:r>
      <w:r w:rsidRPr="00B6519B">
        <w:rPr>
          <w:b/>
          <w:bCs/>
          <w:lang w:val="en-US"/>
        </w:rPr>
        <w:t xml:space="preserve">of </w:t>
      </w:r>
      <w:r w:rsidR="00835692" w:rsidRPr="00B6519B">
        <w:rPr>
          <w:b/>
          <w:bCs/>
          <w:lang w:val="en-US"/>
        </w:rPr>
        <w:t>Terrestrial</w:t>
      </w:r>
      <w:r w:rsidR="00835692" w:rsidRPr="00835692">
        <w:rPr>
          <w:b/>
          <w:bCs/>
          <w:lang w:val="en-US"/>
        </w:rPr>
        <w:t xml:space="preserve"> Biodiversity Management Plan</w:t>
      </w:r>
      <w:r w:rsidR="00835692">
        <w:rPr>
          <w:b/>
          <w:bCs/>
          <w:lang w:val="en-US"/>
        </w:rPr>
        <w:t xml:space="preserve"> for the 7 Sister </w:t>
      </w:r>
      <w:r w:rsidR="00AF5AF0">
        <w:rPr>
          <w:b/>
          <w:bCs/>
          <w:lang w:val="en-US"/>
        </w:rPr>
        <w:t>Water Transfer Project Construction Period:</w:t>
      </w:r>
    </w:p>
    <w:p w14:paraId="002BFB85" w14:textId="250A0F3A" w:rsidR="0002743D" w:rsidRPr="00B6519B" w:rsidRDefault="00B6519B" w:rsidP="00B6519B">
      <w:pPr>
        <w:pStyle w:val="ListParagraph"/>
        <w:numPr>
          <w:ilvl w:val="1"/>
          <w:numId w:val="32"/>
        </w:numPr>
        <w:jc w:val="both"/>
        <w:rPr>
          <w:lang w:val="en-US"/>
        </w:rPr>
      </w:pPr>
      <w:r>
        <w:rPr>
          <w:b/>
          <w:bCs/>
          <w:lang w:val="en-US"/>
        </w:rPr>
        <w:t xml:space="preserve"> </w:t>
      </w:r>
      <w:r w:rsidR="0002743D" w:rsidRPr="00B6519B">
        <w:rPr>
          <w:b/>
          <w:bCs/>
          <w:lang w:val="en-US"/>
        </w:rPr>
        <w:t>Development of Terrestrial Biodiversity Management Plan (TBMP):</w:t>
      </w:r>
    </w:p>
    <w:p w14:paraId="325CD943" w14:textId="2839C1E7" w:rsidR="0002743D" w:rsidRPr="0002743D" w:rsidRDefault="005A2433" w:rsidP="0002743D">
      <w:pPr>
        <w:numPr>
          <w:ilvl w:val="1"/>
          <w:numId w:val="23"/>
        </w:numPr>
        <w:jc w:val="both"/>
        <w:rPr>
          <w:lang w:val="en-US"/>
        </w:rPr>
      </w:pPr>
      <w:r>
        <w:rPr>
          <w:lang w:val="en-US"/>
        </w:rPr>
        <w:t>Review the ES</w:t>
      </w:r>
      <w:r w:rsidR="00EF787B">
        <w:rPr>
          <w:lang w:val="en-US"/>
        </w:rPr>
        <w:t xml:space="preserve">IA </w:t>
      </w:r>
      <w:r w:rsidR="00EC7226">
        <w:rPr>
          <w:lang w:val="en-US"/>
        </w:rPr>
        <w:t>&amp;</w:t>
      </w:r>
      <w:r>
        <w:rPr>
          <w:lang w:val="en-US"/>
        </w:rPr>
        <w:t xml:space="preserve"> ESMP of the 7 Sister Water transfer project and complement, if necessary, the</w:t>
      </w:r>
      <w:r w:rsidR="0002743D" w:rsidRPr="0002743D">
        <w:rPr>
          <w:lang w:val="en-US"/>
        </w:rPr>
        <w:t xml:space="preserve"> assessment of the ecological study area to identify critical life cycle activities of terrestrial animals.</w:t>
      </w:r>
    </w:p>
    <w:p w14:paraId="2F079ECF" w14:textId="77777777" w:rsidR="0002743D" w:rsidRPr="0002743D" w:rsidRDefault="0002743D" w:rsidP="0002743D">
      <w:pPr>
        <w:numPr>
          <w:ilvl w:val="1"/>
          <w:numId w:val="23"/>
        </w:numPr>
        <w:jc w:val="both"/>
        <w:rPr>
          <w:lang w:val="en-US"/>
        </w:rPr>
      </w:pPr>
      <w:r w:rsidRPr="0002743D">
        <w:rPr>
          <w:lang w:val="en-US"/>
        </w:rPr>
        <w:t>Develop a TBMP that includes strategies to monitor and mitigate impacts on wildlife during the construction period.</w:t>
      </w:r>
    </w:p>
    <w:p w14:paraId="5264274A" w14:textId="77777777" w:rsidR="0002743D" w:rsidRPr="0002743D" w:rsidRDefault="0002743D" w:rsidP="0002743D">
      <w:pPr>
        <w:numPr>
          <w:ilvl w:val="1"/>
          <w:numId w:val="23"/>
        </w:numPr>
        <w:jc w:val="both"/>
        <w:rPr>
          <w:lang w:val="en-US"/>
        </w:rPr>
      </w:pPr>
      <w:r w:rsidRPr="0002743D">
        <w:rPr>
          <w:lang w:val="en-US"/>
        </w:rPr>
        <w:t>Ensure the TBMP complies with Performance Standard 6, the Convention on Biological Diversity, Grenada’s National Biodiversity Strategy and Action Plan, and the Revised Forest Policy.</w:t>
      </w:r>
    </w:p>
    <w:p w14:paraId="3ECAED22" w14:textId="77777777" w:rsidR="0002743D" w:rsidRPr="0002743D" w:rsidRDefault="0002743D" w:rsidP="0002743D">
      <w:pPr>
        <w:numPr>
          <w:ilvl w:val="1"/>
          <w:numId w:val="23"/>
        </w:numPr>
        <w:jc w:val="both"/>
        <w:rPr>
          <w:lang w:val="en-US"/>
        </w:rPr>
      </w:pPr>
      <w:r w:rsidRPr="0002743D">
        <w:rPr>
          <w:lang w:val="en-US"/>
        </w:rPr>
        <w:t>Monitor the forest for critical life cycle activities of terrestrial animals to limit direct impact to wildlife in vulnerable life cycle periods.</w:t>
      </w:r>
    </w:p>
    <w:p w14:paraId="09F8044D" w14:textId="77777777" w:rsidR="0002743D" w:rsidRPr="0002743D" w:rsidRDefault="0002743D" w:rsidP="0002743D">
      <w:pPr>
        <w:numPr>
          <w:ilvl w:val="1"/>
          <w:numId w:val="23"/>
        </w:numPr>
        <w:jc w:val="both"/>
        <w:rPr>
          <w:lang w:val="en-US"/>
        </w:rPr>
      </w:pPr>
      <w:r w:rsidRPr="0002743D">
        <w:rPr>
          <w:lang w:val="en-US"/>
        </w:rPr>
        <w:t>Preserve vegetated buffers and corridors to limit the negative impacts of noise, edge effect, and light on biodiversity.</w:t>
      </w:r>
    </w:p>
    <w:p w14:paraId="77197567" w14:textId="15BF7DD5" w:rsidR="0002743D" w:rsidRPr="00D874DE" w:rsidRDefault="0002743D" w:rsidP="00CC46D4">
      <w:pPr>
        <w:pStyle w:val="ListParagraph"/>
        <w:numPr>
          <w:ilvl w:val="2"/>
          <w:numId w:val="32"/>
        </w:numPr>
        <w:ind w:left="1560" w:hanging="709"/>
        <w:jc w:val="both"/>
        <w:rPr>
          <w:b/>
          <w:bCs/>
          <w:lang w:val="en-US"/>
        </w:rPr>
      </w:pPr>
      <w:r w:rsidRPr="00D874DE">
        <w:rPr>
          <w:b/>
          <w:bCs/>
          <w:lang w:val="en-US"/>
        </w:rPr>
        <w:t>Habitat Restoration:</w:t>
      </w:r>
    </w:p>
    <w:p w14:paraId="26B9E8E8" w14:textId="303BC02C" w:rsidR="0002743D" w:rsidRPr="0002743D" w:rsidRDefault="003407FB" w:rsidP="00D874DE">
      <w:pPr>
        <w:numPr>
          <w:ilvl w:val="1"/>
          <w:numId w:val="23"/>
        </w:numPr>
        <w:jc w:val="both"/>
        <w:rPr>
          <w:lang w:val="en-US"/>
        </w:rPr>
      </w:pPr>
      <w:r>
        <w:rPr>
          <w:lang w:val="en-US"/>
        </w:rPr>
        <w:t>During the planning and construction period, r</w:t>
      </w:r>
      <w:r w:rsidR="0002743D" w:rsidRPr="0002743D">
        <w:rPr>
          <w:lang w:val="en-US"/>
        </w:rPr>
        <w:t>ecommend habitat restoration through the replanting of vegetation in affected areas along the pipe-laying route, especially on slopes where vegetation is damaged or destroyed to allow for the installation of pipes.</w:t>
      </w:r>
    </w:p>
    <w:p w14:paraId="4528C2C1" w14:textId="77777777" w:rsidR="0002743D" w:rsidRPr="0002743D" w:rsidRDefault="0002743D" w:rsidP="00D874DE">
      <w:pPr>
        <w:numPr>
          <w:ilvl w:val="1"/>
          <w:numId w:val="23"/>
        </w:numPr>
        <w:jc w:val="both"/>
        <w:rPr>
          <w:lang w:val="en-US"/>
        </w:rPr>
      </w:pPr>
      <w:r w:rsidRPr="0002743D">
        <w:rPr>
          <w:lang w:val="en-US"/>
        </w:rPr>
        <w:t>Ensure restoration is done with native vegetation, including endemics, consistent with the existing ecosystem.</w:t>
      </w:r>
    </w:p>
    <w:p w14:paraId="47C441FA" w14:textId="4478B294" w:rsidR="0002743D" w:rsidRPr="00CC46D4" w:rsidRDefault="0002743D" w:rsidP="00CC46D4">
      <w:pPr>
        <w:pStyle w:val="ListParagraph"/>
        <w:numPr>
          <w:ilvl w:val="2"/>
          <w:numId w:val="32"/>
        </w:numPr>
        <w:ind w:left="1560" w:hanging="709"/>
        <w:jc w:val="both"/>
        <w:rPr>
          <w:b/>
          <w:bCs/>
          <w:lang w:val="en-US"/>
        </w:rPr>
      </w:pPr>
      <w:r w:rsidRPr="0002743D">
        <w:rPr>
          <w:b/>
          <w:bCs/>
          <w:lang w:val="en-US"/>
        </w:rPr>
        <w:t>Vegetation Removal Plan:</w:t>
      </w:r>
    </w:p>
    <w:p w14:paraId="4F23E1D2" w14:textId="155CC3BE" w:rsidR="0002743D" w:rsidRPr="0002743D" w:rsidRDefault="0090441B" w:rsidP="00D874DE">
      <w:pPr>
        <w:numPr>
          <w:ilvl w:val="1"/>
          <w:numId w:val="23"/>
        </w:numPr>
        <w:jc w:val="both"/>
        <w:rPr>
          <w:lang w:val="en-US"/>
        </w:rPr>
      </w:pPr>
      <w:r w:rsidRPr="00CC46D4">
        <w:rPr>
          <w:b/>
          <w:bCs/>
          <w:lang w:val="en-US"/>
        </w:rPr>
        <w:t>In consultation with the Forestry Department and NAW</w:t>
      </w:r>
      <w:r w:rsidR="00D874DE" w:rsidRPr="00CC46D4">
        <w:rPr>
          <w:b/>
          <w:bCs/>
          <w:lang w:val="en-US"/>
        </w:rPr>
        <w:t>A</w:t>
      </w:r>
      <w:r w:rsidRPr="00CC46D4">
        <w:rPr>
          <w:b/>
          <w:bCs/>
          <w:lang w:val="en-US"/>
        </w:rPr>
        <w:t>SA, d</w:t>
      </w:r>
      <w:r w:rsidR="0002743D" w:rsidRPr="00CC46D4">
        <w:rPr>
          <w:b/>
          <w:bCs/>
          <w:lang w:val="en-US"/>
        </w:rPr>
        <w:t>evelop a</w:t>
      </w:r>
      <w:r w:rsidR="0002743D" w:rsidRPr="0002743D">
        <w:rPr>
          <w:lang w:val="en-US"/>
        </w:rPr>
        <w:t xml:space="preserve"> vegetation removal plan before the commencement of land preparation to avoid the unnecessary removal of trees.</w:t>
      </w:r>
    </w:p>
    <w:p w14:paraId="2E9B1280" w14:textId="77777777" w:rsidR="0002743D" w:rsidRPr="0002743D" w:rsidRDefault="0002743D" w:rsidP="00D874DE">
      <w:pPr>
        <w:numPr>
          <w:ilvl w:val="1"/>
          <w:numId w:val="23"/>
        </w:numPr>
        <w:jc w:val="both"/>
        <w:rPr>
          <w:lang w:val="en-US"/>
        </w:rPr>
      </w:pPr>
      <w:r w:rsidRPr="0002743D">
        <w:rPr>
          <w:lang w:val="en-US"/>
        </w:rPr>
        <w:t>Ensure that any vegetation removal is minimized and that mitigation measures are in place to restore affected areas.</w:t>
      </w:r>
    </w:p>
    <w:p w14:paraId="0E2190D8" w14:textId="66B83AD4" w:rsidR="0002743D" w:rsidRPr="00CC46D4" w:rsidRDefault="0002743D" w:rsidP="00CC46D4">
      <w:pPr>
        <w:pStyle w:val="ListParagraph"/>
        <w:numPr>
          <w:ilvl w:val="2"/>
          <w:numId w:val="32"/>
        </w:numPr>
        <w:ind w:left="1560" w:hanging="709"/>
        <w:jc w:val="both"/>
        <w:rPr>
          <w:b/>
          <w:bCs/>
          <w:lang w:val="en-US"/>
        </w:rPr>
      </w:pPr>
      <w:r w:rsidRPr="0002743D">
        <w:rPr>
          <w:b/>
          <w:bCs/>
          <w:lang w:val="en-US"/>
        </w:rPr>
        <w:t>Work Plan Development:</w:t>
      </w:r>
    </w:p>
    <w:p w14:paraId="38BE67DD" w14:textId="77777777" w:rsidR="0002743D" w:rsidRPr="0002743D" w:rsidRDefault="0002743D" w:rsidP="00D874DE">
      <w:pPr>
        <w:numPr>
          <w:ilvl w:val="1"/>
          <w:numId w:val="23"/>
        </w:numPr>
        <w:jc w:val="both"/>
        <w:rPr>
          <w:lang w:val="en-US"/>
        </w:rPr>
      </w:pPr>
      <w:r w:rsidRPr="0002743D">
        <w:rPr>
          <w:lang w:val="en-US"/>
        </w:rPr>
        <w:t>Develop a detailed work plan outlining the activities, timelines, and responsible parties for the implementation of the TBMP.</w:t>
      </w:r>
    </w:p>
    <w:p w14:paraId="7BA3685E" w14:textId="4AD08A57" w:rsidR="0002743D" w:rsidRPr="0002743D" w:rsidRDefault="0002743D" w:rsidP="00D874DE">
      <w:pPr>
        <w:numPr>
          <w:ilvl w:val="1"/>
          <w:numId w:val="23"/>
        </w:numPr>
        <w:jc w:val="both"/>
        <w:rPr>
          <w:lang w:val="en-US"/>
        </w:rPr>
      </w:pPr>
      <w:r w:rsidRPr="0002743D">
        <w:rPr>
          <w:lang w:val="en-US"/>
        </w:rPr>
        <w:t>Ensure the work plan is aligned with the</w:t>
      </w:r>
      <w:r w:rsidR="0090441B">
        <w:rPr>
          <w:lang w:val="en-US"/>
        </w:rPr>
        <w:t xml:space="preserve"> ESMP and the</w:t>
      </w:r>
      <w:r w:rsidRPr="0002743D">
        <w:rPr>
          <w:lang w:val="en-US"/>
        </w:rPr>
        <w:t xml:space="preserve"> overall project timeline and milestones</w:t>
      </w:r>
      <w:r w:rsidR="0090441B">
        <w:rPr>
          <w:lang w:val="en-US"/>
        </w:rPr>
        <w:t xml:space="preserve"> of the 7 sister</w:t>
      </w:r>
      <w:r w:rsidR="00EC7226">
        <w:rPr>
          <w:lang w:val="en-US"/>
        </w:rPr>
        <w:t>s</w:t>
      </w:r>
      <w:r w:rsidR="0090441B">
        <w:rPr>
          <w:lang w:val="en-US"/>
        </w:rPr>
        <w:t xml:space="preserve"> water transfer project.</w:t>
      </w:r>
    </w:p>
    <w:p w14:paraId="63C36B87" w14:textId="1D99E063" w:rsidR="00CC46D4" w:rsidRPr="00B6519B" w:rsidRDefault="00CC46D4" w:rsidP="00CC46D4">
      <w:pPr>
        <w:pStyle w:val="ListParagraph"/>
        <w:ind w:left="1440"/>
        <w:jc w:val="both"/>
        <w:rPr>
          <w:lang w:val="en-US"/>
        </w:rPr>
      </w:pPr>
    </w:p>
    <w:p w14:paraId="5AE94CCF" w14:textId="10E02C6F" w:rsidR="00C03981" w:rsidRDefault="00CC46D4" w:rsidP="00CC46D4">
      <w:pPr>
        <w:pStyle w:val="ListParagraph"/>
        <w:numPr>
          <w:ilvl w:val="1"/>
          <w:numId w:val="32"/>
        </w:numPr>
        <w:jc w:val="both"/>
        <w:rPr>
          <w:b/>
          <w:bCs/>
          <w:lang w:val="en-US"/>
        </w:rPr>
      </w:pPr>
      <w:r>
        <w:rPr>
          <w:b/>
          <w:bCs/>
          <w:lang w:val="en-US"/>
        </w:rPr>
        <w:t>Monitoring and Reporting of TBMP</w:t>
      </w:r>
    </w:p>
    <w:p w14:paraId="1AFFE200" w14:textId="77777777" w:rsidR="000D2794" w:rsidRDefault="00CC46D4" w:rsidP="00CC46D4">
      <w:pPr>
        <w:numPr>
          <w:ilvl w:val="1"/>
          <w:numId w:val="23"/>
        </w:numPr>
        <w:jc w:val="both"/>
        <w:rPr>
          <w:lang w:val="en-US"/>
        </w:rPr>
      </w:pPr>
      <w:r>
        <w:rPr>
          <w:lang w:val="en-US"/>
        </w:rPr>
        <w:t>Monitor the implementation of the TBMP</w:t>
      </w:r>
      <w:r w:rsidR="000D2794">
        <w:rPr>
          <w:lang w:val="en-US"/>
        </w:rPr>
        <w:t xml:space="preserve"> through regular (min. bi-weekly) field visits.</w:t>
      </w:r>
    </w:p>
    <w:p w14:paraId="5D2EEA1A" w14:textId="14CE88AD" w:rsidR="00CC46D4" w:rsidRPr="0002743D" w:rsidRDefault="000D2794" w:rsidP="00CC46D4">
      <w:pPr>
        <w:numPr>
          <w:ilvl w:val="1"/>
          <w:numId w:val="23"/>
        </w:numPr>
        <w:jc w:val="both"/>
        <w:rPr>
          <w:lang w:val="en-US"/>
        </w:rPr>
      </w:pPr>
      <w:r>
        <w:rPr>
          <w:lang w:val="en-US"/>
        </w:rPr>
        <w:t>Prepare monthly progress reports and final report.</w:t>
      </w:r>
    </w:p>
    <w:p w14:paraId="4C4723B2" w14:textId="77777777" w:rsidR="00CC46D4" w:rsidRPr="00CC46D4" w:rsidRDefault="00CC46D4" w:rsidP="00CC46D4">
      <w:pPr>
        <w:ind w:left="720"/>
        <w:jc w:val="both"/>
        <w:rPr>
          <w:b/>
          <w:bCs/>
          <w:lang w:val="en-US"/>
        </w:rPr>
      </w:pPr>
    </w:p>
    <w:p w14:paraId="043C2E63" w14:textId="774040B2" w:rsidR="009C0A08" w:rsidRPr="007F27FE" w:rsidRDefault="009C0A08" w:rsidP="00135540">
      <w:pPr>
        <w:pStyle w:val="Heading2"/>
        <w:numPr>
          <w:ilvl w:val="0"/>
          <w:numId w:val="32"/>
        </w:numPr>
        <w:jc w:val="both"/>
        <w:rPr>
          <w:lang w:val="en-US"/>
        </w:rPr>
      </w:pPr>
      <w:r>
        <w:rPr>
          <w:lang w:val="en-US"/>
        </w:rPr>
        <w:t>Profile of Expert</w:t>
      </w:r>
    </w:p>
    <w:p w14:paraId="05B823A5" w14:textId="09709A3E" w:rsidR="009C0A08" w:rsidRPr="00720A7D" w:rsidRDefault="009C0A08" w:rsidP="00C03981">
      <w:pPr>
        <w:jc w:val="both"/>
        <w:rPr>
          <w:b/>
          <w:bCs/>
          <w:lang w:val="en-US"/>
        </w:rPr>
      </w:pPr>
      <w:r w:rsidRPr="00720A7D">
        <w:rPr>
          <w:b/>
          <w:bCs/>
          <w:lang w:val="en-US"/>
        </w:rPr>
        <w:t>Qualifications</w:t>
      </w:r>
    </w:p>
    <w:p w14:paraId="2C0E9C63" w14:textId="77777777" w:rsidR="00D274B6" w:rsidRPr="00D274B6" w:rsidRDefault="00D274B6" w:rsidP="00D274B6">
      <w:pPr>
        <w:numPr>
          <w:ilvl w:val="0"/>
          <w:numId w:val="24"/>
        </w:numPr>
        <w:jc w:val="both"/>
        <w:rPr>
          <w:lang w:val="en-US"/>
        </w:rPr>
      </w:pPr>
      <w:r w:rsidRPr="00D274B6">
        <w:rPr>
          <w:b/>
          <w:bCs/>
          <w:lang w:val="en-US"/>
        </w:rPr>
        <w:lastRenderedPageBreak/>
        <w:t>Education/Training:</w:t>
      </w:r>
    </w:p>
    <w:p w14:paraId="4792531D" w14:textId="77777777" w:rsidR="00D274B6" w:rsidRPr="00D274B6" w:rsidRDefault="00D274B6" w:rsidP="00D274B6">
      <w:pPr>
        <w:numPr>
          <w:ilvl w:val="1"/>
          <w:numId w:val="24"/>
        </w:numPr>
        <w:jc w:val="both"/>
        <w:rPr>
          <w:lang w:val="en-US"/>
        </w:rPr>
      </w:pPr>
      <w:r w:rsidRPr="00D274B6">
        <w:rPr>
          <w:lang w:val="en-US"/>
        </w:rPr>
        <w:t>A degree in Ecology, Environmental Science, or a related field.</w:t>
      </w:r>
    </w:p>
    <w:p w14:paraId="538B4E82" w14:textId="77777777" w:rsidR="00D274B6" w:rsidRPr="00D274B6" w:rsidRDefault="00D274B6" w:rsidP="00D274B6">
      <w:pPr>
        <w:numPr>
          <w:ilvl w:val="1"/>
          <w:numId w:val="24"/>
        </w:numPr>
        <w:jc w:val="both"/>
        <w:rPr>
          <w:lang w:val="en-US"/>
        </w:rPr>
      </w:pPr>
      <w:r w:rsidRPr="00D274B6">
        <w:rPr>
          <w:lang w:val="en-US"/>
        </w:rPr>
        <w:t>Additional training or certification in biodiversity management and environmental impact assessment.</w:t>
      </w:r>
    </w:p>
    <w:p w14:paraId="224FBC4D" w14:textId="77777777" w:rsidR="00D274B6" w:rsidRPr="00D274B6" w:rsidRDefault="00D274B6" w:rsidP="00D274B6">
      <w:pPr>
        <w:numPr>
          <w:ilvl w:val="0"/>
          <w:numId w:val="24"/>
        </w:numPr>
        <w:jc w:val="both"/>
        <w:rPr>
          <w:lang w:val="en-US"/>
        </w:rPr>
      </w:pPr>
      <w:r w:rsidRPr="00D274B6">
        <w:rPr>
          <w:b/>
          <w:bCs/>
          <w:lang w:val="en-US"/>
        </w:rPr>
        <w:t>General Professional Experience:</w:t>
      </w:r>
    </w:p>
    <w:p w14:paraId="67F79F1A" w14:textId="77EF1464" w:rsidR="00D274B6" w:rsidRPr="00D274B6" w:rsidRDefault="00D274B6" w:rsidP="00D274B6">
      <w:pPr>
        <w:numPr>
          <w:ilvl w:val="1"/>
          <w:numId w:val="24"/>
        </w:numPr>
        <w:jc w:val="both"/>
        <w:rPr>
          <w:lang w:val="en-US"/>
        </w:rPr>
      </w:pPr>
      <w:r w:rsidRPr="00D274B6">
        <w:rPr>
          <w:lang w:val="en-US"/>
        </w:rPr>
        <w:t xml:space="preserve">At least </w:t>
      </w:r>
      <w:r w:rsidR="00EC7226">
        <w:rPr>
          <w:lang w:val="en-US"/>
        </w:rPr>
        <w:t>8</w:t>
      </w:r>
      <w:r w:rsidRPr="00D274B6">
        <w:rPr>
          <w:lang w:val="en-US"/>
        </w:rPr>
        <w:t xml:space="preserve"> years of experience in ecological monitoring and biodiversity management.</w:t>
      </w:r>
    </w:p>
    <w:p w14:paraId="219F8D14" w14:textId="77777777" w:rsidR="00D274B6" w:rsidRPr="00D274B6" w:rsidRDefault="00D274B6" w:rsidP="00D274B6">
      <w:pPr>
        <w:numPr>
          <w:ilvl w:val="1"/>
          <w:numId w:val="24"/>
        </w:numPr>
        <w:jc w:val="both"/>
        <w:rPr>
          <w:lang w:val="en-US"/>
        </w:rPr>
      </w:pPr>
      <w:r w:rsidRPr="00D274B6">
        <w:rPr>
          <w:lang w:val="en-US"/>
        </w:rPr>
        <w:t>Proven experience in developing and implementing environmental management plans.</w:t>
      </w:r>
    </w:p>
    <w:p w14:paraId="00F3E993" w14:textId="77777777" w:rsidR="00D274B6" w:rsidRPr="00D274B6" w:rsidRDefault="00D274B6" w:rsidP="00D274B6">
      <w:pPr>
        <w:numPr>
          <w:ilvl w:val="0"/>
          <w:numId w:val="24"/>
        </w:numPr>
        <w:jc w:val="both"/>
        <w:rPr>
          <w:lang w:val="en-US"/>
        </w:rPr>
      </w:pPr>
      <w:r w:rsidRPr="00D274B6">
        <w:rPr>
          <w:b/>
          <w:bCs/>
          <w:lang w:val="en-US"/>
        </w:rPr>
        <w:t>Specific Professional Experience:</w:t>
      </w:r>
    </w:p>
    <w:p w14:paraId="28544D73" w14:textId="77777777" w:rsidR="00D274B6" w:rsidRPr="00D274B6" w:rsidRDefault="00D274B6" w:rsidP="00D274B6">
      <w:pPr>
        <w:numPr>
          <w:ilvl w:val="1"/>
          <w:numId w:val="24"/>
        </w:numPr>
        <w:jc w:val="both"/>
        <w:rPr>
          <w:lang w:val="en-US"/>
        </w:rPr>
      </w:pPr>
      <w:r w:rsidRPr="00D274B6">
        <w:rPr>
          <w:lang w:val="en-US"/>
        </w:rPr>
        <w:t>Experience in conducting ecological assessments and developing biodiversity management plans for infrastructure projects.</w:t>
      </w:r>
    </w:p>
    <w:p w14:paraId="452BEC3A" w14:textId="77777777" w:rsidR="00D274B6" w:rsidRPr="00D274B6" w:rsidRDefault="00D274B6" w:rsidP="00D274B6">
      <w:pPr>
        <w:numPr>
          <w:ilvl w:val="1"/>
          <w:numId w:val="24"/>
        </w:numPr>
        <w:jc w:val="both"/>
        <w:rPr>
          <w:lang w:val="en-US"/>
        </w:rPr>
      </w:pPr>
      <w:r w:rsidRPr="00D274B6">
        <w:rPr>
          <w:lang w:val="en-US"/>
        </w:rPr>
        <w:t>Knowledge of Grenada’s biodiversity and environmental regulations.</w:t>
      </w:r>
    </w:p>
    <w:p w14:paraId="41123BEF" w14:textId="77777777" w:rsidR="00D274B6" w:rsidRPr="00D274B6" w:rsidRDefault="00D274B6" w:rsidP="00D274B6">
      <w:pPr>
        <w:numPr>
          <w:ilvl w:val="0"/>
          <w:numId w:val="24"/>
        </w:numPr>
        <w:jc w:val="both"/>
        <w:rPr>
          <w:lang w:val="en-US"/>
        </w:rPr>
      </w:pPr>
      <w:r w:rsidRPr="00D274B6">
        <w:rPr>
          <w:b/>
          <w:bCs/>
          <w:lang w:val="en-US"/>
        </w:rPr>
        <w:t>Regional Experience:</w:t>
      </w:r>
    </w:p>
    <w:p w14:paraId="73920D4C" w14:textId="77777777" w:rsidR="00D274B6" w:rsidRPr="00D274B6" w:rsidRDefault="00D274B6" w:rsidP="00D274B6">
      <w:pPr>
        <w:numPr>
          <w:ilvl w:val="1"/>
          <w:numId w:val="24"/>
        </w:numPr>
        <w:jc w:val="both"/>
        <w:rPr>
          <w:lang w:val="en-US"/>
        </w:rPr>
      </w:pPr>
      <w:r w:rsidRPr="00D274B6">
        <w:rPr>
          <w:lang w:val="en-US"/>
        </w:rPr>
        <w:t>Experience working in the Caribbean region, with a focus on Grenada.</w:t>
      </w:r>
    </w:p>
    <w:p w14:paraId="451515C5" w14:textId="77777777" w:rsidR="00D274B6" w:rsidRPr="00D274B6" w:rsidRDefault="00D274B6" w:rsidP="00D274B6">
      <w:pPr>
        <w:numPr>
          <w:ilvl w:val="1"/>
          <w:numId w:val="24"/>
        </w:numPr>
        <w:jc w:val="both"/>
        <w:rPr>
          <w:lang w:val="en-US"/>
        </w:rPr>
      </w:pPr>
      <w:r w:rsidRPr="00D274B6">
        <w:rPr>
          <w:lang w:val="en-US"/>
        </w:rPr>
        <w:t>Familiarity with the ecological and environmental context of Grenada.</w:t>
      </w:r>
    </w:p>
    <w:p w14:paraId="54F0F577" w14:textId="77777777" w:rsidR="00D274B6" w:rsidRPr="00D274B6" w:rsidRDefault="00D274B6" w:rsidP="00D274B6">
      <w:pPr>
        <w:numPr>
          <w:ilvl w:val="0"/>
          <w:numId w:val="24"/>
        </w:numPr>
        <w:jc w:val="both"/>
        <w:rPr>
          <w:lang w:val="en-US"/>
        </w:rPr>
      </w:pPr>
      <w:r w:rsidRPr="00D274B6">
        <w:rPr>
          <w:b/>
          <w:bCs/>
          <w:lang w:val="en-US"/>
        </w:rPr>
        <w:t>Language:</w:t>
      </w:r>
    </w:p>
    <w:p w14:paraId="3B05BA56" w14:textId="77777777" w:rsidR="00D274B6" w:rsidRPr="00D274B6" w:rsidRDefault="00D274B6" w:rsidP="00D274B6">
      <w:pPr>
        <w:numPr>
          <w:ilvl w:val="1"/>
          <w:numId w:val="24"/>
        </w:numPr>
        <w:jc w:val="both"/>
        <w:rPr>
          <w:lang w:val="en-US"/>
        </w:rPr>
      </w:pPr>
      <w:r w:rsidRPr="00D274B6">
        <w:rPr>
          <w:lang w:val="en-US"/>
        </w:rPr>
        <w:t>Proficiency in English, both written and spoken.</w:t>
      </w:r>
    </w:p>
    <w:p w14:paraId="6CB8E75E" w14:textId="300DA0F7" w:rsidR="00720A7D" w:rsidRDefault="00720A7D" w:rsidP="00C03981">
      <w:pPr>
        <w:jc w:val="both"/>
        <w:rPr>
          <w:lang w:val="en-US"/>
        </w:rPr>
      </w:pPr>
    </w:p>
    <w:p w14:paraId="2AFAC652" w14:textId="2E3B1E01" w:rsidR="000632E0" w:rsidRDefault="000632E0" w:rsidP="00135540">
      <w:pPr>
        <w:pStyle w:val="Heading2"/>
        <w:numPr>
          <w:ilvl w:val="0"/>
          <w:numId w:val="32"/>
        </w:numPr>
        <w:jc w:val="both"/>
        <w:rPr>
          <w:lang w:val="en-US"/>
        </w:rPr>
      </w:pPr>
      <w:r>
        <w:rPr>
          <w:lang w:val="en-US"/>
        </w:rPr>
        <w:t>Specification of inputs</w:t>
      </w:r>
    </w:p>
    <w:tbl>
      <w:tblPr>
        <w:tblStyle w:val="TableGrid"/>
        <w:tblW w:w="9913" w:type="dxa"/>
        <w:tblLayout w:type="fixed"/>
        <w:tblLook w:val="04A0" w:firstRow="1" w:lastRow="0" w:firstColumn="1" w:lastColumn="0" w:noHBand="0" w:noVBand="1"/>
      </w:tblPr>
      <w:tblGrid>
        <w:gridCol w:w="3109"/>
        <w:gridCol w:w="1134"/>
        <w:gridCol w:w="1276"/>
        <w:gridCol w:w="1275"/>
        <w:gridCol w:w="3119"/>
      </w:tblGrid>
      <w:tr w:rsidR="00361799" w:rsidRPr="005B5606" w14:paraId="30611744" w14:textId="77777777" w:rsidTr="00D700CA">
        <w:trPr>
          <w:trHeight w:val="330"/>
        </w:trPr>
        <w:tc>
          <w:tcPr>
            <w:tcW w:w="31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C6126E" w14:textId="77777777" w:rsidR="00361799" w:rsidRPr="005B5606" w:rsidRDefault="00361799" w:rsidP="00D700CA">
            <w:pPr>
              <w:spacing w:after="120"/>
              <w:rPr>
                <w:sz w:val="22"/>
                <w:szCs w:val="22"/>
              </w:rPr>
            </w:pPr>
            <w:r w:rsidRPr="005B5606">
              <w:rPr>
                <w:b/>
                <w:sz w:val="22"/>
                <w:szCs w:val="22"/>
              </w:rPr>
              <w:t>Fee days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FBDE6FE" w14:textId="77777777" w:rsidR="00361799" w:rsidRPr="005B5606" w:rsidRDefault="00361799" w:rsidP="00D700CA">
            <w:pPr>
              <w:spacing w:after="120"/>
              <w:rPr>
                <w:rFonts w:eastAsia="Arial"/>
                <w:b/>
                <w:bCs/>
                <w:color w:val="000000" w:themeColor="text1"/>
                <w:sz w:val="22"/>
                <w:szCs w:val="22"/>
              </w:rPr>
            </w:pPr>
            <w:r w:rsidRPr="005B5606">
              <w:rPr>
                <w:b/>
                <w:color w:val="000000" w:themeColor="text1"/>
                <w:sz w:val="22"/>
                <w:szCs w:val="22"/>
              </w:rPr>
              <w:t>Number of experts</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35380BA" w14:textId="77777777" w:rsidR="00361799" w:rsidRPr="00361799" w:rsidRDefault="00361799" w:rsidP="00D700CA">
            <w:pPr>
              <w:spacing w:after="120"/>
              <w:rPr>
                <w:rFonts w:eastAsia="Arial"/>
                <w:b/>
                <w:bCs/>
                <w:color w:val="000000" w:themeColor="text1"/>
                <w:sz w:val="22"/>
                <w:szCs w:val="22"/>
                <w:lang w:val="en-US"/>
              </w:rPr>
            </w:pPr>
            <w:r w:rsidRPr="00361799">
              <w:rPr>
                <w:b/>
                <w:color w:val="000000" w:themeColor="text1"/>
                <w:sz w:val="22"/>
                <w:szCs w:val="22"/>
                <w:lang w:val="en-US"/>
              </w:rPr>
              <w:t>Number of days per expert</w:t>
            </w:r>
          </w:p>
        </w:tc>
        <w:tc>
          <w:tcPr>
            <w:tcW w:w="12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57E537D" w14:textId="77777777" w:rsidR="00361799" w:rsidRPr="005B5606" w:rsidRDefault="00361799" w:rsidP="00D700CA">
            <w:pPr>
              <w:spacing w:after="120"/>
              <w:rPr>
                <w:rFonts w:eastAsia="Arial"/>
                <w:b/>
                <w:bCs/>
                <w:color w:val="000000" w:themeColor="text1"/>
                <w:sz w:val="22"/>
                <w:szCs w:val="22"/>
              </w:rPr>
            </w:pPr>
            <w:r w:rsidRPr="005B5606">
              <w:rPr>
                <w:b/>
                <w:color w:val="000000" w:themeColor="text1"/>
                <w:sz w:val="22"/>
                <w:szCs w:val="22"/>
              </w:rPr>
              <w:t>Total</w:t>
            </w:r>
          </w:p>
        </w:tc>
        <w:tc>
          <w:tcPr>
            <w:tcW w:w="31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5595D0" w14:textId="77777777" w:rsidR="00361799" w:rsidRPr="005B5606" w:rsidRDefault="00361799" w:rsidP="00D700CA">
            <w:pPr>
              <w:spacing w:after="120"/>
              <w:rPr>
                <w:sz w:val="22"/>
                <w:szCs w:val="22"/>
              </w:rPr>
            </w:pPr>
            <w:r w:rsidRPr="005B5606">
              <w:rPr>
                <w:b/>
                <w:color w:val="000000" w:themeColor="text1"/>
                <w:sz w:val="22"/>
                <w:szCs w:val="22"/>
              </w:rPr>
              <w:t>Comments</w:t>
            </w:r>
          </w:p>
        </w:tc>
      </w:tr>
      <w:tr w:rsidR="00361799" w:rsidRPr="006A0951" w14:paraId="3DA6D91B" w14:textId="77777777" w:rsidTr="00D700CA">
        <w:trPr>
          <w:trHeight w:val="330"/>
        </w:trPr>
        <w:tc>
          <w:tcPr>
            <w:tcW w:w="3109" w:type="dxa"/>
            <w:tcBorders>
              <w:top w:val="single" w:sz="8" w:space="0" w:color="auto"/>
              <w:left w:val="single" w:sz="8" w:space="0" w:color="auto"/>
              <w:bottom w:val="single" w:sz="8" w:space="0" w:color="auto"/>
              <w:right w:val="single" w:sz="8" w:space="0" w:color="auto"/>
            </w:tcBorders>
          </w:tcPr>
          <w:p w14:paraId="17C66937" w14:textId="494E7820" w:rsidR="00361799" w:rsidRPr="001935C5" w:rsidRDefault="00361799" w:rsidP="00D700CA">
            <w:pPr>
              <w:spacing w:after="120"/>
              <w:rPr>
                <w:rFonts w:eastAsia="Arial"/>
              </w:rPr>
            </w:pPr>
            <w:r>
              <w:rPr>
                <w:b/>
                <w:color w:val="000000" w:themeColor="text1"/>
              </w:rPr>
              <w:t>Expert</w:t>
            </w:r>
          </w:p>
        </w:tc>
        <w:tc>
          <w:tcPr>
            <w:tcW w:w="1134" w:type="dxa"/>
            <w:tcBorders>
              <w:top w:val="single" w:sz="8" w:space="0" w:color="auto"/>
              <w:left w:val="single" w:sz="8" w:space="0" w:color="auto"/>
              <w:bottom w:val="single" w:sz="8" w:space="0" w:color="auto"/>
              <w:right w:val="single" w:sz="8" w:space="0" w:color="auto"/>
            </w:tcBorders>
          </w:tcPr>
          <w:p w14:paraId="31BF30D5" w14:textId="658B50C3" w:rsidR="00361799" w:rsidRPr="006D4BEF" w:rsidRDefault="000D2794" w:rsidP="00D700CA">
            <w:pPr>
              <w:spacing w:after="120"/>
              <w:rPr>
                <w:noProof/>
              </w:rPr>
            </w:pPr>
            <w:r>
              <w:rPr>
                <w:noProof/>
              </w:rPr>
              <w:t>1</w:t>
            </w:r>
          </w:p>
        </w:tc>
        <w:tc>
          <w:tcPr>
            <w:tcW w:w="1276" w:type="dxa"/>
            <w:tcBorders>
              <w:top w:val="single" w:sz="8" w:space="0" w:color="auto"/>
              <w:left w:val="single" w:sz="8" w:space="0" w:color="auto"/>
              <w:bottom w:val="single" w:sz="8" w:space="0" w:color="auto"/>
              <w:right w:val="single" w:sz="8" w:space="0" w:color="auto"/>
            </w:tcBorders>
          </w:tcPr>
          <w:p w14:paraId="0EC12AA8" w14:textId="7C901EC0" w:rsidR="00361799" w:rsidRPr="006D4BEF" w:rsidRDefault="000D2794" w:rsidP="00D700CA">
            <w:pPr>
              <w:spacing w:after="120"/>
              <w:rPr>
                <w:noProof/>
              </w:rPr>
            </w:pPr>
            <w:r>
              <w:rPr>
                <w:noProof/>
              </w:rPr>
              <w:t>10</w:t>
            </w:r>
          </w:p>
        </w:tc>
        <w:tc>
          <w:tcPr>
            <w:tcW w:w="1275" w:type="dxa"/>
            <w:tcBorders>
              <w:top w:val="single" w:sz="8" w:space="0" w:color="auto"/>
              <w:left w:val="single" w:sz="8" w:space="0" w:color="auto"/>
              <w:bottom w:val="single" w:sz="8" w:space="0" w:color="auto"/>
              <w:right w:val="single" w:sz="8" w:space="0" w:color="auto"/>
            </w:tcBorders>
          </w:tcPr>
          <w:p w14:paraId="238E2941" w14:textId="6F5137DC" w:rsidR="00361799" w:rsidRPr="006D4BEF" w:rsidRDefault="000D2794" w:rsidP="00D700CA">
            <w:pPr>
              <w:spacing w:after="120"/>
              <w:rPr>
                <w:noProof/>
              </w:rPr>
            </w:pPr>
            <w:r>
              <w:rPr>
                <w:noProof/>
              </w:rPr>
              <w:t>10</w:t>
            </w:r>
          </w:p>
        </w:tc>
        <w:tc>
          <w:tcPr>
            <w:tcW w:w="3119" w:type="dxa"/>
            <w:tcBorders>
              <w:top w:val="single" w:sz="8" w:space="0" w:color="auto"/>
              <w:left w:val="single" w:sz="8" w:space="0" w:color="auto"/>
              <w:bottom w:val="single" w:sz="8" w:space="0" w:color="auto"/>
              <w:right w:val="single" w:sz="8" w:space="0" w:color="auto"/>
            </w:tcBorders>
          </w:tcPr>
          <w:p w14:paraId="1FD15B43" w14:textId="47835D51" w:rsidR="00361799" w:rsidRPr="009D3C50" w:rsidRDefault="009D3C50" w:rsidP="00D700CA">
            <w:pPr>
              <w:spacing w:after="120"/>
              <w:rPr>
                <w:noProof/>
                <w:lang w:val="en-US"/>
              </w:rPr>
            </w:pPr>
            <w:r w:rsidRPr="009D3C50">
              <w:rPr>
                <w:noProof/>
                <w:lang w:val="en-US"/>
              </w:rPr>
              <w:t>Includes all tasks related to the development</w:t>
            </w:r>
            <w:r w:rsidR="000D2794">
              <w:rPr>
                <w:noProof/>
                <w:lang w:val="en-US"/>
              </w:rPr>
              <w:t xml:space="preserve"> </w:t>
            </w:r>
            <w:r w:rsidRPr="009D3C50">
              <w:rPr>
                <w:noProof/>
                <w:lang w:val="en-US"/>
              </w:rPr>
              <w:t>of the TBMP</w:t>
            </w:r>
            <w:r w:rsidR="000D2794">
              <w:rPr>
                <w:noProof/>
                <w:lang w:val="en-US"/>
              </w:rPr>
              <w:t>(Task 4.1 above)</w:t>
            </w:r>
            <w:r w:rsidRPr="009D3C50">
              <w:rPr>
                <w:noProof/>
                <w:lang w:val="en-US"/>
              </w:rPr>
              <w:t>.</w:t>
            </w:r>
          </w:p>
        </w:tc>
      </w:tr>
      <w:tr w:rsidR="00361799" w:rsidRPr="006A0951" w14:paraId="0566F224" w14:textId="77777777" w:rsidTr="00D700CA">
        <w:trPr>
          <w:trHeight w:val="330"/>
        </w:trPr>
        <w:tc>
          <w:tcPr>
            <w:tcW w:w="3109" w:type="dxa"/>
            <w:tcBorders>
              <w:top w:val="single" w:sz="8" w:space="0" w:color="auto"/>
              <w:left w:val="single" w:sz="8" w:space="0" w:color="auto"/>
              <w:bottom w:val="single" w:sz="8" w:space="0" w:color="auto"/>
              <w:right w:val="single" w:sz="8" w:space="0" w:color="auto"/>
            </w:tcBorders>
          </w:tcPr>
          <w:p w14:paraId="44E3AA63" w14:textId="5068FCD4" w:rsidR="00361799" w:rsidRPr="009D3C50" w:rsidRDefault="000D2794" w:rsidP="00D700CA">
            <w:pPr>
              <w:spacing w:after="120"/>
              <w:rPr>
                <w:b/>
                <w:color w:val="000000" w:themeColor="text1"/>
                <w:lang w:val="en-US"/>
              </w:rPr>
            </w:pPr>
            <w:r>
              <w:rPr>
                <w:b/>
                <w:color w:val="000000" w:themeColor="text1"/>
                <w:lang w:val="en-US"/>
              </w:rPr>
              <w:t xml:space="preserve">Expert </w:t>
            </w:r>
          </w:p>
        </w:tc>
        <w:tc>
          <w:tcPr>
            <w:tcW w:w="1134" w:type="dxa"/>
            <w:tcBorders>
              <w:top w:val="single" w:sz="8" w:space="0" w:color="auto"/>
              <w:left w:val="single" w:sz="8" w:space="0" w:color="auto"/>
              <w:bottom w:val="single" w:sz="8" w:space="0" w:color="auto"/>
              <w:right w:val="single" w:sz="8" w:space="0" w:color="auto"/>
            </w:tcBorders>
          </w:tcPr>
          <w:p w14:paraId="6D0C800A" w14:textId="66B82010" w:rsidR="00361799" w:rsidRPr="009D3C50" w:rsidRDefault="000D2794" w:rsidP="00D700CA">
            <w:pPr>
              <w:spacing w:after="120"/>
              <w:rPr>
                <w:noProof/>
                <w:lang w:val="en-US"/>
              </w:rPr>
            </w:pPr>
            <w:r>
              <w:rPr>
                <w:noProof/>
                <w:lang w:val="en-US"/>
              </w:rPr>
              <w:t>1</w:t>
            </w:r>
          </w:p>
        </w:tc>
        <w:tc>
          <w:tcPr>
            <w:tcW w:w="1276" w:type="dxa"/>
            <w:tcBorders>
              <w:top w:val="single" w:sz="8" w:space="0" w:color="auto"/>
              <w:left w:val="single" w:sz="8" w:space="0" w:color="auto"/>
              <w:bottom w:val="single" w:sz="8" w:space="0" w:color="auto"/>
              <w:right w:val="single" w:sz="8" w:space="0" w:color="auto"/>
            </w:tcBorders>
          </w:tcPr>
          <w:p w14:paraId="1398E4F0" w14:textId="3E5E5E59" w:rsidR="00361799" w:rsidRPr="009D3C50" w:rsidRDefault="000D2794" w:rsidP="00D700CA">
            <w:pPr>
              <w:spacing w:after="120"/>
              <w:rPr>
                <w:noProof/>
                <w:lang w:val="en-US"/>
              </w:rPr>
            </w:pPr>
            <w:r>
              <w:rPr>
                <w:noProof/>
                <w:lang w:val="en-US"/>
              </w:rPr>
              <w:t>1</w:t>
            </w:r>
            <w:r w:rsidR="0076322D">
              <w:rPr>
                <w:noProof/>
                <w:lang w:val="en-US"/>
              </w:rPr>
              <w:t>5</w:t>
            </w:r>
          </w:p>
        </w:tc>
        <w:tc>
          <w:tcPr>
            <w:tcW w:w="1275" w:type="dxa"/>
            <w:tcBorders>
              <w:top w:val="single" w:sz="8" w:space="0" w:color="auto"/>
              <w:left w:val="single" w:sz="8" w:space="0" w:color="auto"/>
              <w:bottom w:val="single" w:sz="8" w:space="0" w:color="auto"/>
              <w:right w:val="single" w:sz="8" w:space="0" w:color="auto"/>
            </w:tcBorders>
          </w:tcPr>
          <w:p w14:paraId="6B9394D7" w14:textId="1A5D3CDE" w:rsidR="00361799" w:rsidRPr="009D3C50" w:rsidRDefault="000D2794" w:rsidP="00D700CA">
            <w:pPr>
              <w:spacing w:after="120"/>
              <w:rPr>
                <w:noProof/>
                <w:lang w:val="en-US"/>
              </w:rPr>
            </w:pPr>
            <w:r>
              <w:rPr>
                <w:noProof/>
                <w:lang w:val="en-US"/>
              </w:rPr>
              <w:t>1</w:t>
            </w:r>
            <w:r w:rsidR="0076322D">
              <w:rPr>
                <w:noProof/>
                <w:lang w:val="en-US"/>
              </w:rPr>
              <w:t>5</w:t>
            </w:r>
          </w:p>
        </w:tc>
        <w:tc>
          <w:tcPr>
            <w:tcW w:w="3119" w:type="dxa"/>
            <w:tcBorders>
              <w:top w:val="single" w:sz="8" w:space="0" w:color="auto"/>
              <w:left w:val="single" w:sz="8" w:space="0" w:color="auto"/>
              <w:bottom w:val="single" w:sz="8" w:space="0" w:color="auto"/>
              <w:right w:val="single" w:sz="8" w:space="0" w:color="auto"/>
            </w:tcBorders>
          </w:tcPr>
          <w:p w14:paraId="17C1EB27" w14:textId="0A7C2EFF" w:rsidR="00361799" w:rsidRPr="00361799" w:rsidRDefault="000D2794" w:rsidP="00D700CA">
            <w:pPr>
              <w:spacing w:after="120"/>
              <w:rPr>
                <w:lang w:val="en-US"/>
              </w:rPr>
            </w:pPr>
            <w:r>
              <w:rPr>
                <w:lang w:val="en-US"/>
              </w:rPr>
              <w:t xml:space="preserve">Includes all task related to the monitoring and reporting of the TBMP (Task 4.2 above). </w:t>
            </w:r>
            <w:r w:rsidR="0076322D">
              <w:rPr>
                <w:lang w:val="en-US"/>
              </w:rPr>
              <w:t>Assuming 5 months of construction activities (3 days per months input time).</w:t>
            </w:r>
          </w:p>
        </w:tc>
      </w:tr>
      <w:tr w:rsidR="00361799" w:rsidRPr="005B5606" w14:paraId="495A11CE" w14:textId="77777777" w:rsidTr="00D700CA">
        <w:trPr>
          <w:trHeight w:val="330"/>
        </w:trPr>
        <w:tc>
          <w:tcPr>
            <w:tcW w:w="31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6400AE" w14:textId="77777777" w:rsidR="00361799" w:rsidRPr="005B5606" w:rsidRDefault="00361799" w:rsidP="00D700CA">
            <w:pPr>
              <w:spacing w:after="120"/>
              <w:rPr>
                <w:sz w:val="22"/>
                <w:szCs w:val="22"/>
              </w:rPr>
            </w:pPr>
            <w:r w:rsidRPr="005B5606">
              <w:rPr>
                <w:b/>
                <w:color w:val="000000" w:themeColor="text1"/>
                <w:sz w:val="22"/>
                <w:szCs w:val="22"/>
              </w:rPr>
              <w:t>Travel expenses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C7AF67D" w14:textId="77777777" w:rsidR="00361799" w:rsidRPr="005B5606" w:rsidRDefault="00361799" w:rsidP="00D700CA">
            <w:pPr>
              <w:spacing w:after="120"/>
              <w:rPr>
                <w:rFonts w:eastAsia="Arial"/>
                <w:b/>
                <w:bCs/>
                <w:color w:val="000000" w:themeColor="text1"/>
                <w:sz w:val="22"/>
                <w:szCs w:val="22"/>
              </w:rPr>
            </w:pPr>
            <w:r w:rsidRPr="005B5606">
              <w:rPr>
                <w:b/>
                <w:color w:val="000000" w:themeColor="text1"/>
                <w:sz w:val="22"/>
                <w:szCs w:val="22"/>
              </w:rPr>
              <w:t>Quantity</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4F0D19" w14:textId="77777777" w:rsidR="00361799" w:rsidRPr="005B5606" w:rsidRDefault="00361799" w:rsidP="00D700CA">
            <w:pPr>
              <w:spacing w:after="120"/>
              <w:rPr>
                <w:rFonts w:eastAsia="Arial"/>
                <w:b/>
                <w:bCs/>
                <w:color w:val="000000" w:themeColor="text1"/>
                <w:sz w:val="22"/>
                <w:szCs w:val="22"/>
              </w:rPr>
            </w:pPr>
            <w:r>
              <w:rPr>
                <w:b/>
                <w:color w:val="000000" w:themeColor="text1"/>
                <w:sz w:val="22"/>
                <w:szCs w:val="22"/>
              </w:rPr>
              <w:t xml:space="preserve">Price (EUR) </w:t>
            </w:r>
          </w:p>
        </w:tc>
        <w:tc>
          <w:tcPr>
            <w:tcW w:w="12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B6634E" w14:textId="77777777" w:rsidR="00361799" w:rsidRPr="005B5606" w:rsidRDefault="00361799" w:rsidP="00D700CA">
            <w:pPr>
              <w:spacing w:after="120"/>
              <w:rPr>
                <w:rFonts w:eastAsia="Arial"/>
                <w:b/>
                <w:bCs/>
                <w:color w:val="000000" w:themeColor="text1"/>
                <w:sz w:val="22"/>
                <w:szCs w:val="22"/>
              </w:rPr>
            </w:pPr>
            <w:r w:rsidRPr="005B5606">
              <w:rPr>
                <w:b/>
                <w:color w:val="000000" w:themeColor="text1"/>
                <w:sz w:val="22"/>
                <w:szCs w:val="22"/>
              </w:rPr>
              <w:t>Total</w:t>
            </w:r>
            <w:r>
              <w:rPr>
                <w:b/>
                <w:color w:val="000000" w:themeColor="text1"/>
                <w:sz w:val="22"/>
                <w:szCs w:val="22"/>
              </w:rPr>
              <w:t xml:space="preserve"> (EUR)</w:t>
            </w:r>
          </w:p>
        </w:tc>
        <w:tc>
          <w:tcPr>
            <w:tcW w:w="31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B0C7E68" w14:textId="77777777" w:rsidR="00361799" w:rsidRPr="005B5606" w:rsidRDefault="00361799" w:rsidP="00D700CA">
            <w:pPr>
              <w:spacing w:after="120"/>
              <w:rPr>
                <w:sz w:val="22"/>
                <w:szCs w:val="22"/>
              </w:rPr>
            </w:pPr>
            <w:r w:rsidRPr="005B5606">
              <w:rPr>
                <w:b/>
                <w:color w:val="000000" w:themeColor="text1"/>
                <w:sz w:val="22"/>
                <w:szCs w:val="22"/>
              </w:rPr>
              <w:t>Comments</w:t>
            </w:r>
          </w:p>
        </w:tc>
      </w:tr>
      <w:tr w:rsidR="00361799" w:rsidRPr="006A0951" w14:paraId="600FAAF1" w14:textId="77777777" w:rsidTr="00D700CA">
        <w:trPr>
          <w:trHeight w:val="330"/>
        </w:trPr>
        <w:tc>
          <w:tcPr>
            <w:tcW w:w="3109" w:type="dxa"/>
            <w:tcBorders>
              <w:top w:val="single" w:sz="8" w:space="0" w:color="auto"/>
              <w:left w:val="single" w:sz="8" w:space="0" w:color="auto"/>
              <w:bottom w:val="single" w:sz="8" w:space="0" w:color="auto"/>
              <w:right w:val="single" w:sz="8" w:space="0" w:color="auto"/>
            </w:tcBorders>
          </w:tcPr>
          <w:p w14:paraId="1F69E441" w14:textId="77777777" w:rsidR="00361799" w:rsidRPr="00361799" w:rsidRDefault="00361799" w:rsidP="00D700CA">
            <w:pPr>
              <w:spacing w:after="120"/>
              <w:rPr>
                <w:rFonts w:eastAsia="Arial"/>
                <w:b/>
                <w:bCs/>
                <w:color w:val="000000" w:themeColor="text1"/>
                <w:lang w:val="en-US"/>
              </w:rPr>
            </w:pPr>
            <w:r w:rsidRPr="00361799">
              <w:rPr>
                <w:b/>
                <w:color w:val="000000" w:themeColor="text1"/>
                <w:lang w:val="en-US"/>
              </w:rPr>
              <w:t>Per-diem allowance in country of assignment</w:t>
            </w:r>
          </w:p>
        </w:tc>
        <w:tc>
          <w:tcPr>
            <w:tcW w:w="1134" w:type="dxa"/>
            <w:tcBorders>
              <w:top w:val="single" w:sz="8" w:space="0" w:color="auto"/>
              <w:left w:val="single" w:sz="8" w:space="0" w:color="auto"/>
              <w:bottom w:val="single" w:sz="8" w:space="0" w:color="auto"/>
              <w:right w:val="single" w:sz="8" w:space="0" w:color="auto"/>
            </w:tcBorders>
          </w:tcPr>
          <w:p w14:paraId="3C6651FA" w14:textId="32FBCCBB" w:rsidR="00361799" w:rsidRPr="002929CA" w:rsidRDefault="00361799" w:rsidP="00D700CA">
            <w:pPr>
              <w:spacing w:after="120"/>
              <w:rPr>
                <w:rFonts w:eastAsia="Arial"/>
                <w:b/>
                <w:bCs/>
                <w:color w:val="000000" w:themeColor="text1"/>
                <w:lang w:val="en-US"/>
              </w:rPr>
            </w:pPr>
          </w:p>
        </w:tc>
        <w:tc>
          <w:tcPr>
            <w:tcW w:w="1276" w:type="dxa"/>
            <w:tcBorders>
              <w:top w:val="single" w:sz="8" w:space="0" w:color="auto"/>
              <w:left w:val="single" w:sz="8" w:space="0" w:color="auto"/>
              <w:bottom w:val="single" w:sz="8" w:space="0" w:color="auto"/>
              <w:right w:val="single" w:sz="8" w:space="0" w:color="auto"/>
            </w:tcBorders>
          </w:tcPr>
          <w:p w14:paraId="3C63BEC9" w14:textId="360683D2" w:rsidR="00361799" w:rsidRPr="002929CA" w:rsidRDefault="00361799" w:rsidP="00D700CA">
            <w:pPr>
              <w:spacing w:after="120"/>
              <w:rPr>
                <w:noProof/>
                <w:lang w:val="en-US"/>
              </w:rPr>
            </w:pPr>
          </w:p>
        </w:tc>
        <w:tc>
          <w:tcPr>
            <w:tcW w:w="1275" w:type="dxa"/>
            <w:tcBorders>
              <w:top w:val="single" w:sz="8" w:space="0" w:color="auto"/>
              <w:left w:val="single" w:sz="8" w:space="0" w:color="auto"/>
              <w:bottom w:val="single" w:sz="8" w:space="0" w:color="auto"/>
              <w:right w:val="single" w:sz="8" w:space="0" w:color="auto"/>
            </w:tcBorders>
          </w:tcPr>
          <w:p w14:paraId="599AEC20" w14:textId="090C402C" w:rsidR="00361799" w:rsidRPr="009E6E3B" w:rsidRDefault="00361799" w:rsidP="00D700CA">
            <w:pPr>
              <w:spacing w:after="120"/>
              <w:rPr>
                <w:noProof/>
                <w:lang w:val="en-US"/>
              </w:rPr>
            </w:pPr>
          </w:p>
        </w:tc>
        <w:tc>
          <w:tcPr>
            <w:tcW w:w="3119" w:type="dxa"/>
            <w:tcBorders>
              <w:top w:val="single" w:sz="8" w:space="0" w:color="auto"/>
              <w:left w:val="single" w:sz="8" w:space="0" w:color="auto"/>
              <w:bottom w:val="single" w:sz="8" w:space="0" w:color="auto"/>
              <w:right w:val="single" w:sz="8" w:space="0" w:color="auto"/>
            </w:tcBorders>
          </w:tcPr>
          <w:p w14:paraId="27616FED" w14:textId="77777777" w:rsidR="00361799" w:rsidRPr="00973CD4" w:rsidRDefault="00361799" w:rsidP="00D700CA">
            <w:pPr>
              <w:spacing w:after="120"/>
              <w:rPr>
                <w:noProof/>
                <w:lang w:val="en-US"/>
              </w:rPr>
            </w:pPr>
          </w:p>
        </w:tc>
      </w:tr>
      <w:tr w:rsidR="00361799" w14:paraId="45F52585" w14:textId="77777777" w:rsidTr="00D700CA">
        <w:trPr>
          <w:trHeight w:val="330"/>
        </w:trPr>
        <w:tc>
          <w:tcPr>
            <w:tcW w:w="31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8E81FF" w14:textId="77777777" w:rsidR="00361799" w:rsidRDefault="00361799" w:rsidP="00D700CA">
            <w:pPr>
              <w:spacing w:after="120"/>
            </w:pPr>
            <w:r>
              <w:rPr>
                <w:b/>
                <w:color w:val="000000" w:themeColor="text1"/>
              </w:rPr>
              <w:t>Other costs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1DCB2A" w14:textId="77777777" w:rsidR="00361799" w:rsidRPr="00332464" w:rsidRDefault="00361799" w:rsidP="00D700CA">
            <w:pPr>
              <w:spacing w:after="120"/>
              <w:rPr>
                <w:rFonts w:eastAsia="Arial"/>
                <w:b/>
                <w:bCs/>
                <w:color w:val="000000" w:themeColor="text1"/>
              </w:rPr>
            </w:pPr>
            <w:r>
              <w:rPr>
                <w:b/>
                <w:color w:val="000000" w:themeColor="text1"/>
              </w:rPr>
              <w:t>Number</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07AE3A" w14:textId="77777777" w:rsidR="00361799" w:rsidRPr="00332464" w:rsidRDefault="00361799" w:rsidP="00D700CA">
            <w:pPr>
              <w:spacing w:after="120"/>
              <w:rPr>
                <w:rFonts w:eastAsia="Arial"/>
                <w:b/>
                <w:bCs/>
                <w:color w:val="000000" w:themeColor="text1"/>
              </w:rPr>
            </w:pPr>
            <w:r>
              <w:rPr>
                <w:b/>
                <w:color w:val="000000" w:themeColor="text1"/>
              </w:rPr>
              <w:t>Price (EUR)</w:t>
            </w:r>
          </w:p>
        </w:tc>
        <w:tc>
          <w:tcPr>
            <w:tcW w:w="12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B3A1BE" w14:textId="77777777" w:rsidR="00361799" w:rsidRPr="00332464" w:rsidRDefault="00361799" w:rsidP="00D700CA">
            <w:pPr>
              <w:spacing w:after="120"/>
              <w:rPr>
                <w:rFonts w:eastAsia="Arial"/>
                <w:b/>
                <w:bCs/>
                <w:color w:val="000000" w:themeColor="text1"/>
              </w:rPr>
            </w:pPr>
            <w:r>
              <w:rPr>
                <w:b/>
                <w:color w:val="000000" w:themeColor="text1"/>
              </w:rPr>
              <w:t>Total (EUR)</w:t>
            </w:r>
          </w:p>
        </w:tc>
        <w:tc>
          <w:tcPr>
            <w:tcW w:w="31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50C07C" w14:textId="77777777" w:rsidR="00361799" w:rsidRDefault="00361799" w:rsidP="00D700CA">
            <w:pPr>
              <w:spacing w:after="120"/>
            </w:pPr>
            <w:r>
              <w:rPr>
                <w:b/>
                <w:color w:val="000000" w:themeColor="text1"/>
              </w:rPr>
              <w:t>Comments</w:t>
            </w:r>
          </w:p>
        </w:tc>
      </w:tr>
      <w:tr w:rsidR="00361799" w:rsidRPr="00361799" w14:paraId="37F434DD" w14:textId="77777777" w:rsidTr="00D700CA">
        <w:trPr>
          <w:trHeight w:val="330"/>
        </w:trPr>
        <w:tc>
          <w:tcPr>
            <w:tcW w:w="3109" w:type="dxa"/>
            <w:tcBorders>
              <w:top w:val="single" w:sz="8" w:space="0" w:color="auto"/>
              <w:left w:val="single" w:sz="8" w:space="0" w:color="auto"/>
              <w:bottom w:val="single" w:sz="8" w:space="0" w:color="auto"/>
              <w:right w:val="single" w:sz="8" w:space="0" w:color="auto"/>
            </w:tcBorders>
          </w:tcPr>
          <w:p w14:paraId="68AD3C4D" w14:textId="77777777" w:rsidR="00361799" w:rsidRPr="00C51B48" w:rsidRDefault="00361799" w:rsidP="00D700CA">
            <w:pPr>
              <w:spacing w:after="120"/>
              <w:rPr>
                <w:rFonts w:eastAsia="Arial"/>
                <w:b/>
                <w:bCs/>
                <w:color w:val="000000" w:themeColor="text1"/>
              </w:rPr>
            </w:pPr>
            <w:bookmarkStart w:id="1" w:name="_Hlk113027102"/>
            <w:r>
              <w:rPr>
                <w:b/>
                <w:color w:val="000000" w:themeColor="text1"/>
              </w:rPr>
              <w:t>Flexible remuneration</w:t>
            </w:r>
          </w:p>
          <w:p w14:paraId="58EF3FC5" w14:textId="77777777" w:rsidR="00361799" w:rsidRDefault="00361799" w:rsidP="00D700CA">
            <w:pPr>
              <w:pStyle w:val="ZulschenderText"/>
              <w:spacing w:before="120" w:after="120"/>
            </w:pPr>
          </w:p>
        </w:tc>
        <w:tc>
          <w:tcPr>
            <w:tcW w:w="1134" w:type="dxa"/>
            <w:tcBorders>
              <w:top w:val="single" w:sz="8" w:space="0" w:color="auto"/>
              <w:left w:val="single" w:sz="8" w:space="0" w:color="auto"/>
              <w:bottom w:val="single" w:sz="8" w:space="0" w:color="auto"/>
              <w:right w:val="single" w:sz="8" w:space="0" w:color="auto"/>
            </w:tcBorders>
          </w:tcPr>
          <w:p w14:paraId="6D6E54AF" w14:textId="7DCF24FD" w:rsidR="00361799" w:rsidRPr="006D4BEF" w:rsidRDefault="00361799" w:rsidP="00D700CA">
            <w:pPr>
              <w:spacing w:after="120"/>
              <w:rPr>
                <w:rFonts w:eastAsia="Arial"/>
                <w:color w:val="000000" w:themeColor="text1"/>
              </w:rPr>
            </w:pPr>
          </w:p>
        </w:tc>
        <w:tc>
          <w:tcPr>
            <w:tcW w:w="1276" w:type="dxa"/>
            <w:tcBorders>
              <w:top w:val="single" w:sz="8" w:space="0" w:color="auto"/>
              <w:left w:val="single" w:sz="8" w:space="0" w:color="auto"/>
              <w:bottom w:val="single" w:sz="8" w:space="0" w:color="auto"/>
              <w:right w:val="single" w:sz="8" w:space="0" w:color="auto"/>
            </w:tcBorders>
          </w:tcPr>
          <w:p w14:paraId="3CB3C1E6" w14:textId="5D1EB33D" w:rsidR="00361799" w:rsidRPr="006D4BEF" w:rsidRDefault="00361799" w:rsidP="00D700CA">
            <w:pPr>
              <w:spacing w:after="120"/>
              <w:rPr>
                <w:noProof/>
              </w:rPr>
            </w:pPr>
          </w:p>
        </w:tc>
        <w:tc>
          <w:tcPr>
            <w:tcW w:w="1275" w:type="dxa"/>
            <w:tcBorders>
              <w:top w:val="single" w:sz="8" w:space="0" w:color="auto"/>
              <w:left w:val="single" w:sz="8" w:space="0" w:color="auto"/>
              <w:bottom w:val="single" w:sz="8" w:space="0" w:color="auto"/>
              <w:right w:val="single" w:sz="8" w:space="0" w:color="auto"/>
            </w:tcBorders>
          </w:tcPr>
          <w:p w14:paraId="57226600" w14:textId="683890FA" w:rsidR="00361799" w:rsidRPr="006D4BEF" w:rsidRDefault="00361799" w:rsidP="00D700CA">
            <w:pPr>
              <w:spacing w:after="120"/>
              <w:rPr>
                <w:noProof/>
              </w:rPr>
            </w:pPr>
          </w:p>
        </w:tc>
        <w:tc>
          <w:tcPr>
            <w:tcW w:w="3119" w:type="dxa"/>
            <w:tcBorders>
              <w:top w:val="single" w:sz="8" w:space="0" w:color="auto"/>
              <w:left w:val="single" w:sz="8" w:space="0" w:color="auto"/>
              <w:bottom w:val="single" w:sz="8" w:space="0" w:color="auto"/>
              <w:right w:val="single" w:sz="8" w:space="0" w:color="auto"/>
            </w:tcBorders>
          </w:tcPr>
          <w:p w14:paraId="42EA776C" w14:textId="702F78C2" w:rsidR="00361799" w:rsidRPr="00361799" w:rsidRDefault="00361799" w:rsidP="00D700CA">
            <w:pPr>
              <w:spacing w:after="120"/>
              <w:rPr>
                <w:lang w:val="en-US"/>
              </w:rPr>
            </w:pPr>
          </w:p>
        </w:tc>
      </w:tr>
    </w:tbl>
    <w:bookmarkEnd w:id="1"/>
    <w:p w14:paraId="11C62115" w14:textId="5BEC4430" w:rsidR="00074B8F" w:rsidRPr="00074B8F" w:rsidRDefault="00074B8F" w:rsidP="00135540">
      <w:pPr>
        <w:pStyle w:val="Heading2"/>
        <w:numPr>
          <w:ilvl w:val="0"/>
          <w:numId w:val="32"/>
        </w:numPr>
        <w:jc w:val="both"/>
        <w:rPr>
          <w:lang w:val="en-US"/>
        </w:rPr>
      </w:pPr>
      <w:r w:rsidRPr="00074B8F">
        <w:rPr>
          <w:lang w:val="en-US"/>
        </w:rPr>
        <w:t>Input from NAWASA or Other Actors</w:t>
      </w:r>
    </w:p>
    <w:p w14:paraId="78EFCDB6" w14:textId="77287248" w:rsidR="00074B8F" w:rsidRPr="00074B8F" w:rsidRDefault="00074B8F" w:rsidP="00074B8F">
      <w:pPr>
        <w:jc w:val="both"/>
        <w:rPr>
          <w:lang w:val="en-US"/>
        </w:rPr>
      </w:pPr>
      <w:r w:rsidRPr="00074B8F">
        <w:rPr>
          <w:lang w:val="en-US"/>
        </w:rPr>
        <w:t>The consultant will work closely with NAWASA</w:t>
      </w:r>
      <w:r w:rsidR="0098553D">
        <w:rPr>
          <w:lang w:val="en-US"/>
        </w:rPr>
        <w:t xml:space="preserve">, the Forestry Department at the Ministry of </w:t>
      </w:r>
      <w:r w:rsidR="0060390F" w:rsidRPr="0060390F">
        <w:rPr>
          <w:lang w:val="en-US"/>
        </w:rPr>
        <w:t>Ministry of Economic Development, Planning, Tourism, Creative Economy, Culture, Agriculture and Lands, Forestry, Marine Resources and Cooperatives</w:t>
      </w:r>
      <w:r w:rsidR="0060390F">
        <w:rPr>
          <w:lang w:val="en-US"/>
        </w:rPr>
        <w:t xml:space="preserve">, the GIZ and </w:t>
      </w:r>
      <w:r w:rsidRPr="00074B8F">
        <w:rPr>
          <w:lang w:val="en-US"/>
        </w:rPr>
        <w:t>other relevant stakeholders to ensure the successful implementation of the TBMP. Key inputs from NAWASA and other actors may include:</w:t>
      </w:r>
    </w:p>
    <w:p w14:paraId="22B3A9F8" w14:textId="77777777" w:rsidR="00074B8F" w:rsidRPr="00074B8F" w:rsidRDefault="00074B8F" w:rsidP="00074B8F">
      <w:pPr>
        <w:numPr>
          <w:ilvl w:val="0"/>
          <w:numId w:val="25"/>
        </w:numPr>
        <w:jc w:val="both"/>
        <w:rPr>
          <w:lang w:val="en-US"/>
        </w:rPr>
      </w:pPr>
      <w:r w:rsidRPr="00074B8F">
        <w:rPr>
          <w:b/>
          <w:bCs/>
          <w:lang w:val="en-US"/>
        </w:rPr>
        <w:t>Technical Support:</w:t>
      </w:r>
      <w:r w:rsidRPr="00074B8F">
        <w:rPr>
          <w:lang w:val="en-US"/>
        </w:rPr>
        <w:t> Provision of technical support and expertise related to the water transfer project and environmental management.</w:t>
      </w:r>
    </w:p>
    <w:p w14:paraId="618C4378" w14:textId="77777777" w:rsidR="00074B8F" w:rsidRPr="00074B8F" w:rsidRDefault="00074B8F" w:rsidP="00074B8F">
      <w:pPr>
        <w:numPr>
          <w:ilvl w:val="0"/>
          <w:numId w:val="25"/>
        </w:numPr>
        <w:jc w:val="both"/>
        <w:rPr>
          <w:lang w:val="en-US"/>
        </w:rPr>
      </w:pPr>
      <w:r w:rsidRPr="00074B8F">
        <w:rPr>
          <w:b/>
          <w:bCs/>
          <w:lang w:val="en-US"/>
        </w:rPr>
        <w:t>Data and Information:</w:t>
      </w:r>
      <w:r w:rsidRPr="00074B8F">
        <w:rPr>
          <w:lang w:val="en-US"/>
        </w:rPr>
        <w:t> Access to relevant data, reports, and information related to the ecological study area and the water transfer project.</w:t>
      </w:r>
    </w:p>
    <w:p w14:paraId="5D052B28" w14:textId="77777777" w:rsidR="00074B8F" w:rsidRPr="00074B8F" w:rsidRDefault="00074B8F" w:rsidP="00074B8F">
      <w:pPr>
        <w:numPr>
          <w:ilvl w:val="0"/>
          <w:numId w:val="25"/>
        </w:numPr>
        <w:jc w:val="both"/>
        <w:rPr>
          <w:lang w:val="en-US"/>
        </w:rPr>
      </w:pPr>
      <w:r w:rsidRPr="00074B8F">
        <w:rPr>
          <w:b/>
          <w:bCs/>
          <w:lang w:val="en-US"/>
        </w:rPr>
        <w:t>Coordination:</w:t>
      </w:r>
      <w:r w:rsidRPr="00074B8F">
        <w:rPr>
          <w:lang w:val="en-US"/>
        </w:rPr>
        <w:t> Facilitation of coordination meetings and workshops to ensure effective communication and collaboration among stakeholders.</w:t>
      </w:r>
    </w:p>
    <w:p w14:paraId="2A559232" w14:textId="77777777" w:rsidR="00074B8F" w:rsidRPr="00074B8F" w:rsidRDefault="00074B8F" w:rsidP="00074B8F">
      <w:pPr>
        <w:numPr>
          <w:ilvl w:val="0"/>
          <w:numId w:val="25"/>
        </w:numPr>
        <w:jc w:val="both"/>
        <w:rPr>
          <w:lang w:val="en-US"/>
        </w:rPr>
      </w:pPr>
      <w:r w:rsidRPr="00074B8F">
        <w:rPr>
          <w:b/>
          <w:bCs/>
          <w:lang w:val="en-US"/>
        </w:rPr>
        <w:t>Monitoring and Evaluation:</w:t>
      </w:r>
      <w:r w:rsidRPr="00074B8F">
        <w:rPr>
          <w:lang w:val="en-US"/>
        </w:rPr>
        <w:t> Support in monitoring and evaluating the implementation of the TBMP and providing feedback for continuous improvement.</w:t>
      </w:r>
    </w:p>
    <w:p w14:paraId="2FD65AE3" w14:textId="7AB5B38B" w:rsidR="00074B8F" w:rsidRPr="00074B8F" w:rsidRDefault="00074B8F" w:rsidP="00135540">
      <w:pPr>
        <w:pStyle w:val="Heading2"/>
        <w:numPr>
          <w:ilvl w:val="0"/>
          <w:numId w:val="32"/>
        </w:numPr>
        <w:jc w:val="both"/>
        <w:rPr>
          <w:lang w:val="en-US"/>
        </w:rPr>
      </w:pPr>
      <w:r w:rsidRPr="00074B8F">
        <w:rPr>
          <w:lang w:val="en-US"/>
        </w:rPr>
        <w:t>Requirements on the Format of the Tender</w:t>
      </w:r>
    </w:p>
    <w:p w14:paraId="4D697E52" w14:textId="77777777" w:rsidR="00074B8F" w:rsidRPr="00074B8F" w:rsidRDefault="00074B8F" w:rsidP="00074B8F">
      <w:pPr>
        <w:jc w:val="both"/>
        <w:rPr>
          <w:lang w:val="en-US"/>
        </w:rPr>
      </w:pPr>
      <w:r w:rsidRPr="00074B8F">
        <w:rPr>
          <w:lang w:val="en-US"/>
        </w:rPr>
        <w:t>The tender submission should include the following:</w:t>
      </w:r>
    </w:p>
    <w:p w14:paraId="631FF10B" w14:textId="77777777" w:rsidR="00074B8F" w:rsidRPr="00074B8F" w:rsidRDefault="00074B8F" w:rsidP="00074B8F">
      <w:pPr>
        <w:numPr>
          <w:ilvl w:val="0"/>
          <w:numId w:val="26"/>
        </w:numPr>
        <w:jc w:val="both"/>
        <w:rPr>
          <w:lang w:val="en-US"/>
        </w:rPr>
      </w:pPr>
      <w:r w:rsidRPr="00074B8F">
        <w:rPr>
          <w:b/>
          <w:bCs/>
          <w:lang w:val="en-US"/>
        </w:rPr>
        <w:t>Technical Proposal:</w:t>
      </w:r>
    </w:p>
    <w:p w14:paraId="5B6F2A5B" w14:textId="77777777" w:rsidR="00074B8F" w:rsidRPr="00074B8F" w:rsidRDefault="00074B8F" w:rsidP="00074B8F">
      <w:pPr>
        <w:numPr>
          <w:ilvl w:val="1"/>
          <w:numId w:val="26"/>
        </w:numPr>
        <w:jc w:val="both"/>
        <w:rPr>
          <w:lang w:val="en-US"/>
        </w:rPr>
      </w:pPr>
      <w:r w:rsidRPr="00074B8F">
        <w:rPr>
          <w:lang w:val="en-US"/>
        </w:rPr>
        <w:t>Detailed methodology for developing and implementing the TBMP.</w:t>
      </w:r>
    </w:p>
    <w:p w14:paraId="52B8CC75" w14:textId="77777777" w:rsidR="00074B8F" w:rsidRPr="00074B8F" w:rsidRDefault="00074B8F" w:rsidP="00074B8F">
      <w:pPr>
        <w:numPr>
          <w:ilvl w:val="1"/>
          <w:numId w:val="26"/>
        </w:numPr>
        <w:jc w:val="both"/>
        <w:rPr>
          <w:lang w:val="en-US"/>
        </w:rPr>
      </w:pPr>
      <w:r w:rsidRPr="00074B8F">
        <w:rPr>
          <w:lang w:val="en-US"/>
        </w:rPr>
        <w:t>Work plan outlining the activities, timelines, and responsible parties.</w:t>
      </w:r>
    </w:p>
    <w:p w14:paraId="168897D2" w14:textId="77777777" w:rsidR="00074B8F" w:rsidRPr="00074B8F" w:rsidRDefault="00074B8F" w:rsidP="00074B8F">
      <w:pPr>
        <w:numPr>
          <w:ilvl w:val="1"/>
          <w:numId w:val="26"/>
        </w:numPr>
        <w:jc w:val="both"/>
        <w:rPr>
          <w:lang w:val="en-US"/>
        </w:rPr>
      </w:pPr>
      <w:r w:rsidRPr="00074B8F">
        <w:rPr>
          <w:lang w:val="en-US"/>
        </w:rPr>
        <w:t>Qualifications and experience of the consultant and any supporting team members.</w:t>
      </w:r>
    </w:p>
    <w:p w14:paraId="30C40A5B" w14:textId="77777777" w:rsidR="00394C1D" w:rsidRPr="00074B8F" w:rsidRDefault="00394C1D" w:rsidP="00394C1D">
      <w:pPr>
        <w:numPr>
          <w:ilvl w:val="1"/>
          <w:numId w:val="26"/>
        </w:numPr>
        <w:jc w:val="both"/>
        <w:rPr>
          <w:lang w:val="en-US"/>
        </w:rPr>
      </w:pPr>
      <w:r w:rsidRPr="00074B8F">
        <w:rPr>
          <w:lang w:val="en-US"/>
        </w:rPr>
        <w:t>Curriculum Vitae (CV) of the consultant and any supporting team members.</w:t>
      </w:r>
    </w:p>
    <w:p w14:paraId="1458E733" w14:textId="77777777" w:rsidR="00394C1D" w:rsidRDefault="00394C1D" w:rsidP="00394C1D">
      <w:pPr>
        <w:numPr>
          <w:ilvl w:val="1"/>
          <w:numId w:val="26"/>
        </w:numPr>
        <w:jc w:val="both"/>
        <w:rPr>
          <w:lang w:val="en-US"/>
        </w:rPr>
      </w:pPr>
      <w:r w:rsidRPr="00074B8F">
        <w:rPr>
          <w:lang w:val="en-US"/>
        </w:rPr>
        <w:t xml:space="preserve">Any additional supporting documents or references </w:t>
      </w:r>
    </w:p>
    <w:p w14:paraId="11351BAC" w14:textId="7426ECD7" w:rsidR="00074B8F" w:rsidRPr="00074B8F" w:rsidRDefault="00074B8F" w:rsidP="00394C1D">
      <w:pPr>
        <w:numPr>
          <w:ilvl w:val="1"/>
          <w:numId w:val="26"/>
        </w:numPr>
        <w:jc w:val="both"/>
        <w:rPr>
          <w:lang w:val="en-US"/>
        </w:rPr>
      </w:pPr>
      <w:r w:rsidRPr="00074B8F">
        <w:rPr>
          <w:lang w:val="en-US"/>
        </w:rPr>
        <w:t>References from previous similar projects.</w:t>
      </w:r>
    </w:p>
    <w:p w14:paraId="3D735ACB" w14:textId="77777777" w:rsidR="00074B8F" w:rsidRPr="00074B8F" w:rsidRDefault="00074B8F" w:rsidP="00074B8F">
      <w:pPr>
        <w:numPr>
          <w:ilvl w:val="0"/>
          <w:numId w:val="26"/>
        </w:numPr>
        <w:jc w:val="both"/>
        <w:rPr>
          <w:lang w:val="en-US"/>
        </w:rPr>
      </w:pPr>
      <w:r w:rsidRPr="00074B8F">
        <w:rPr>
          <w:b/>
          <w:bCs/>
          <w:lang w:val="en-US"/>
        </w:rPr>
        <w:t>Financial Proposal:</w:t>
      </w:r>
    </w:p>
    <w:p w14:paraId="0D6EF843" w14:textId="3F9193A7" w:rsidR="00074B8F" w:rsidRPr="00074B8F" w:rsidRDefault="00074B8F" w:rsidP="00074B8F">
      <w:pPr>
        <w:numPr>
          <w:ilvl w:val="1"/>
          <w:numId w:val="26"/>
        </w:numPr>
        <w:jc w:val="both"/>
        <w:rPr>
          <w:lang w:val="en-US"/>
        </w:rPr>
      </w:pPr>
      <w:r w:rsidRPr="00074B8F">
        <w:rPr>
          <w:lang w:val="en-US"/>
        </w:rPr>
        <w:t>Detailed breakdown of costs, including fee days and other costs.</w:t>
      </w:r>
    </w:p>
    <w:p w14:paraId="7536E5FF" w14:textId="77777777" w:rsidR="00074B8F" w:rsidRPr="00074B8F" w:rsidRDefault="00074B8F" w:rsidP="00074B8F">
      <w:pPr>
        <w:numPr>
          <w:ilvl w:val="1"/>
          <w:numId w:val="26"/>
        </w:numPr>
        <w:jc w:val="both"/>
        <w:rPr>
          <w:lang w:val="en-US"/>
        </w:rPr>
      </w:pPr>
      <w:r w:rsidRPr="00074B8F">
        <w:rPr>
          <w:lang w:val="en-US"/>
        </w:rPr>
        <w:t>Total cost of the consultancy services.</w:t>
      </w:r>
    </w:p>
    <w:p w14:paraId="562268AA" w14:textId="77777777" w:rsidR="00074B8F" w:rsidRPr="00074B8F" w:rsidRDefault="00074B8F" w:rsidP="00074B8F">
      <w:pPr>
        <w:numPr>
          <w:ilvl w:val="0"/>
          <w:numId w:val="26"/>
        </w:numPr>
        <w:jc w:val="both"/>
        <w:rPr>
          <w:lang w:val="en-US"/>
        </w:rPr>
      </w:pPr>
      <w:r w:rsidRPr="00074B8F">
        <w:rPr>
          <w:b/>
          <w:bCs/>
          <w:lang w:val="en-US"/>
        </w:rPr>
        <w:t>Compliance Statement:</w:t>
      </w:r>
    </w:p>
    <w:p w14:paraId="01161382" w14:textId="77777777" w:rsidR="00074B8F" w:rsidRPr="00074B8F" w:rsidRDefault="00074B8F" w:rsidP="00074B8F">
      <w:pPr>
        <w:numPr>
          <w:ilvl w:val="1"/>
          <w:numId w:val="26"/>
        </w:numPr>
        <w:jc w:val="both"/>
        <w:rPr>
          <w:lang w:val="en-US"/>
        </w:rPr>
      </w:pPr>
      <w:r w:rsidRPr="00074B8F">
        <w:rPr>
          <w:lang w:val="en-US"/>
        </w:rPr>
        <w:t>Statement confirming compliance with all relevant environmental standards, regulations, and requirements.</w:t>
      </w:r>
    </w:p>
    <w:p w14:paraId="46F71C39" w14:textId="77777777" w:rsidR="00074B8F" w:rsidRPr="00074B8F" w:rsidRDefault="00074B8F" w:rsidP="00074B8F">
      <w:pPr>
        <w:numPr>
          <w:ilvl w:val="1"/>
          <w:numId w:val="26"/>
        </w:numPr>
        <w:jc w:val="both"/>
        <w:rPr>
          <w:lang w:val="en-US"/>
        </w:rPr>
      </w:pPr>
      <w:r w:rsidRPr="00074B8F">
        <w:rPr>
          <w:lang w:val="en-US"/>
        </w:rPr>
        <w:t>Commitment to implementing the ESMP and relevant mitigation measures.</w:t>
      </w:r>
    </w:p>
    <w:p w14:paraId="3357E9DC" w14:textId="4EB378B5" w:rsidR="00135540" w:rsidRDefault="00135540" w:rsidP="00135540">
      <w:pPr>
        <w:pStyle w:val="Heading2"/>
        <w:numPr>
          <w:ilvl w:val="0"/>
          <w:numId w:val="32"/>
        </w:numPr>
        <w:jc w:val="both"/>
        <w:rPr>
          <w:lang w:val="en-US"/>
        </w:rPr>
      </w:pPr>
      <w:r w:rsidRPr="00135540">
        <w:rPr>
          <w:lang w:val="en-US"/>
        </w:rPr>
        <w:t>Annexes</w:t>
      </w:r>
    </w:p>
    <w:p w14:paraId="0BBFE888" w14:textId="01671B9B" w:rsidR="00074B8F" w:rsidRPr="00074B8F" w:rsidRDefault="00074B8F" w:rsidP="00394C1D">
      <w:pPr>
        <w:jc w:val="both"/>
        <w:rPr>
          <w:lang w:val="en-US"/>
        </w:rPr>
      </w:pPr>
      <w:r w:rsidRPr="00074B8F">
        <w:rPr>
          <w:lang w:val="en-US"/>
        </w:rPr>
        <w:t>Detailed Environmental and Social Impact Assessment (ESIA) and Environmental and Social Management Plan (ESMP) report for the 7 Sister water transfer project.</w:t>
      </w:r>
      <w:r w:rsidR="00135540">
        <w:rPr>
          <w:lang w:val="en-US"/>
        </w:rPr>
        <w:t xml:space="preserve"> </w:t>
      </w:r>
      <w:hyperlink r:id="rId12" w:history="1">
        <w:r w:rsidR="00135540" w:rsidRPr="00135540">
          <w:rPr>
            <w:rStyle w:val="Hyperlink"/>
            <w:lang w:val="en-US"/>
          </w:rPr>
          <w:t>giz2024-en-G-CREWS-7sister-ESIA-ESMP-report.pdf</w:t>
        </w:r>
      </w:hyperlink>
    </w:p>
    <w:p w14:paraId="5C486BB7" w14:textId="3E0EC185" w:rsidR="00074B8F" w:rsidRPr="00074B8F" w:rsidRDefault="00074B8F" w:rsidP="00135540">
      <w:pPr>
        <w:pStyle w:val="Heading2"/>
        <w:numPr>
          <w:ilvl w:val="0"/>
          <w:numId w:val="32"/>
        </w:numPr>
        <w:jc w:val="both"/>
        <w:rPr>
          <w:lang w:val="en-US"/>
        </w:rPr>
      </w:pPr>
      <w:r w:rsidRPr="00074B8F">
        <w:rPr>
          <w:lang w:val="en-US"/>
        </w:rPr>
        <w:t>Timeline</w:t>
      </w:r>
    </w:p>
    <w:p w14:paraId="6159422A" w14:textId="77777777" w:rsidR="00074B8F" w:rsidRPr="00074B8F" w:rsidRDefault="00074B8F" w:rsidP="00074B8F">
      <w:pPr>
        <w:jc w:val="both"/>
        <w:rPr>
          <w:lang w:val="en-US"/>
        </w:rPr>
      </w:pPr>
      <w:r w:rsidRPr="00074B8F">
        <w:rPr>
          <w:lang w:val="en-US"/>
        </w:rPr>
        <w:t>The consultancy is expected to be completed within a period of 6 months from the date of contract signing. The timeline may include the following key milestones:</w:t>
      </w:r>
    </w:p>
    <w:p w14:paraId="384C3AAC" w14:textId="77777777" w:rsidR="00074B8F" w:rsidRPr="00074B8F" w:rsidRDefault="00074B8F" w:rsidP="00074B8F">
      <w:pPr>
        <w:numPr>
          <w:ilvl w:val="0"/>
          <w:numId w:val="28"/>
        </w:numPr>
        <w:jc w:val="both"/>
        <w:rPr>
          <w:lang w:val="en-US"/>
        </w:rPr>
      </w:pPr>
      <w:r w:rsidRPr="00074B8F">
        <w:rPr>
          <w:b/>
          <w:bCs/>
          <w:lang w:val="en-US"/>
        </w:rPr>
        <w:lastRenderedPageBreak/>
        <w:t>Kick-off Meeting:</w:t>
      </w:r>
      <w:r w:rsidRPr="00074B8F">
        <w:rPr>
          <w:lang w:val="en-US"/>
        </w:rPr>
        <w:t> Within 1 week of contract signing.</w:t>
      </w:r>
    </w:p>
    <w:p w14:paraId="5F73A429" w14:textId="3B9406B6" w:rsidR="00074B8F" w:rsidRPr="00074B8F" w:rsidRDefault="00074B8F" w:rsidP="00074B8F">
      <w:pPr>
        <w:numPr>
          <w:ilvl w:val="0"/>
          <w:numId w:val="28"/>
        </w:numPr>
        <w:jc w:val="both"/>
        <w:rPr>
          <w:lang w:val="en-US"/>
        </w:rPr>
      </w:pPr>
      <w:r w:rsidRPr="00074B8F">
        <w:rPr>
          <w:b/>
          <w:bCs/>
          <w:lang w:val="en-US"/>
        </w:rPr>
        <w:t>Development of TBMP:</w:t>
      </w:r>
      <w:r w:rsidRPr="00074B8F">
        <w:rPr>
          <w:lang w:val="en-US"/>
        </w:rPr>
        <w:t xml:space="preserve"> Within </w:t>
      </w:r>
      <w:r w:rsidR="00EC7226">
        <w:rPr>
          <w:lang w:val="en-US"/>
        </w:rPr>
        <w:t xml:space="preserve">1 </w:t>
      </w:r>
      <w:r w:rsidRPr="00074B8F">
        <w:rPr>
          <w:lang w:val="en-US"/>
        </w:rPr>
        <w:t>months of the kick-off meeting.</w:t>
      </w:r>
    </w:p>
    <w:p w14:paraId="726DA444" w14:textId="765069D2" w:rsidR="00074B8F" w:rsidRPr="00074B8F" w:rsidRDefault="00074B8F" w:rsidP="00074B8F">
      <w:pPr>
        <w:numPr>
          <w:ilvl w:val="0"/>
          <w:numId w:val="28"/>
        </w:numPr>
        <w:jc w:val="both"/>
        <w:rPr>
          <w:lang w:val="en-US"/>
        </w:rPr>
      </w:pPr>
      <w:r w:rsidRPr="00074B8F">
        <w:rPr>
          <w:b/>
          <w:bCs/>
          <w:lang w:val="en-US"/>
        </w:rPr>
        <w:t>Implementation of TBMP:</w:t>
      </w:r>
      <w:r w:rsidRPr="00074B8F">
        <w:rPr>
          <w:lang w:val="en-US"/>
        </w:rPr>
        <w:t xml:space="preserve"> Over the remaining </w:t>
      </w:r>
      <w:r w:rsidR="00EC7226">
        <w:rPr>
          <w:lang w:val="en-US"/>
        </w:rPr>
        <w:t>5</w:t>
      </w:r>
      <w:r w:rsidRPr="00074B8F">
        <w:rPr>
          <w:lang w:val="en-US"/>
        </w:rPr>
        <w:t xml:space="preserve"> months, with regular progress reports to NAWASA and other stakeholders.</w:t>
      </w:r>
    </w:p>
    <w:p w14:paraId="7343A9B4" w14:textId="77777777" w:rsidR="00074B8F" w:rsidRPr="00074B8F" w:rsidRDefault="00074B8F" w:rsidP="00074B8F">
      <w:pPr>
        <w:numPr>
          <w:ilvl w:val="0"/>
          <w:numId w:val="28"/>
        </w:numPr>
        <w:jc w:val="both"/>
        <w:rPr>
          <w:lang w:val="en-US"/>
        </w:rPr>
      </w:pPr>
      <w:r w:rsidRPr="00074B8F">
        <w:rPr>
          <w:b/>
          <w:bCs/>
          <w:lang w:val="en-US"/>
        </w:rPr>
        <w:t>Final Report and Presentation:</w:t>
      </w:r>
      <w:r w:rsidRPr="00074B8F">
        <w:rPr>
          <w:lang w:val="en-US"/>
        </w:rPr>
        <w:t> Within 1 week of the completion of the implementation phase.</w:t>
      </w:r>
    </w:p>
    <w:p w14:paraId="05D258E7" w14:textId="15CA4EA2" w:rsidR="00074B8F" w:rsidRPr="00074B8F" w:rsidRDefault="00074B8F" w:rsidP="00135540">
      <w:pPr>
        <w:pStyle w:val="Heading2"/>
        <w:numPr>
          <w:ilvl w:val="0"/>
          <w:numId w:val="32"/>
        </w:numPr>
        <w:jc w:val="both"/>
        <w:rPr>
          <w:lang w:val="en-US"/>
        </w:rPr>
      </w:pPr>
      <w:r w:rsidRPr="00074B8F">
        <w:rPr>
          <w:lang w:val="en-US"/>
        </w:rPr>
        <w:t>Reporting</w:t>
      </w:r>
    </w:p>
    <w:p w14:paraId="71A948CB" w14:textId="77777777" w:rsidR="00074B8F" w:rsidRPr="00074B8F" w:rsidRDefault="00074B8F" w:rsidP="00074B8F">
      <w:pPr>
        <w:jc w:val="both"/>
        <w:rPr>
          <w:lang w:val="en-US"/>
        </w:rPr>
      </w:pPr>
      <w:r w:rsidRPr="00074B8F">
        <w:rPr>
          <w:lang w:val="en-US"/>
        </w:rPr>
        <w:t>The consultant will provide regular progress reports to NAWASA and other relevant stakeholders. The reports should include:</w:t>
      </w:r>
    </w:p>
    <w:p w14:paraId="065A7A67" w14:textId="77777777" w:rsidR="00074B8F" w:rsidRPr="00074B8F" w:rsidRDefault="00074B8F" w:rsidP="00074B8F">
      <w:pPr>
        <w:numPr>
          <w:ilvl w:val="0"/>
          <w:numId w:val="29"/>
        </w:numPr>
        <w:jc w:val="both"/>
        <w:rPr>
          <w:lang w:val="en-US"/>
        </w:rPr>
      </w:pPr>
      <w:r w:rsidRPr="00074B8F">
        <w:rPr>
          <w:b/>
          <w:bCs/>
          <w:lang w:val="en-US"/>
        </w:rPr>
        <w:t>Monthly Progress Reports:</w:t>
      </w:r>
      <w:r w:rsidRPr="00074B8F">
        <w:rPr>
          <w:lang w:val="en-US"/>
        </w:rPr>
        <w:t> Detailed updates on the activities, achievements, and any challenges encountered.</w:t>
      </w:r>
    </w:p>
    <w:p w14:paraId="58166F33" w14:textId="77777777" w:rsidR="00074B8F" w:rsidRPr="00074B8F" w:rsidRDefault="00074B8F" w:rsidP="00074B8F">
      <w:pPr>
        <w:numPr>
          <w:ilvl w:val="0"/>
          <w:numId w:val="29"/>
        </w:numPr>
        <w:jc w:val="both"/>
        <w:rPr>
          <w:lang w:val="en-US"/>
        </w:rPr>
      </w:pPr>
      <w:r w:rsidRPr="00074B8F">
        <w:rPr>
          <w:b/>
          <w:bCs/>
          <w:lang w:val="en-US"/>
        </w:rPr>
        <w:t>Final Report:</w:t>
      </w:r>
      <w:r w:rsidRPr="00074B8F">
        <w:rPr>
          <w:lang w:val="en-US"/>
        </w:rPr>
        <w:t> Comprehensive report summarizing the entire consultancy process, including the development and implementation of the TBMP, findings, recommendations, and lessons learned.</w:t>
      </w:r>
    </w:p>
    <w:p w14:paraId="38FED202" w14:textId="77777777" w:rsidR="00792C36" w:rsidRPr="00074B8F" w:rsidRDefault="00792C36" w:rsidP="00792C36">
      <w:pPr>
        <w:jc w:val="both"/>
        <w:rPr>
          <w:lang w:val="en-US"/>
        </w:rPr>
      </w:pPr>
    </w:p>
    <w:p w14:paraId="4CDD5F9E" w14:textId="77777777" w:rsidR="00792C36" w:rsidRPr="00074B8F" w:rsidRDefault="00792C36" w:rsidP="00792C36">
      <w:pPr>
        <w:pStyle w:val="Default"/>
        <w:numPr>
          <w:ilvl w:val="0"/>
          <w:numId w:val="19"/>
        </w:numPr>
        <w:rPr>
          <w:sz w:val="28"/>
          <w:szCs w:val="28"/>
        </w:rPr>
      </w:pPr>
    </w:p>
    <w:p w14:paraId="2179E387" w14:textId="77777777" w:rsidR="00792C36" w:rsidRPr="00074B8F" w:rsidRDefault="00792C36" w:rsidP="006C7BD1">
      <w:pPr>
        <w:numPr>
          <w:ilvl w:val="1"/>
          <w:numId w:val="19"/>
        </w:numPr>
        <w:ind w:right="80"/>
        <w:jc w:val="both"/>
        <w:rPr>
          <w:lang w:val="en-US"/>
        </w:rPr>
      </w:pPr>
    </w:p>
    <w:p w14:paraId="0D07089E" w14:textId="77777777" w:rsidR="006C7BD1" w:rsidRPr="006C7BD1" w:rsidRDefault="006C7BD1" w:rsidP="006C7BD1">
      <w:pPr>
        <w:numPr>
          <w:ilvl w:val="1"/>
          <w:numId w:val="19"/>
        </w:numPr>
        <w:ind w:right="80"/>
        <w:jc w:val="both"/>
        <w:rPr>
          <w:lang w:val="en-US"/>
        </w:rPr>
      </w:pPr>
    </w:p>
    <w:p w14:paraId="068D5D59" w14:textId="77777777" w:rsidR="006C7BD1" w:rsidRPr="006C7BD1" w:rsidRDefault="006C7BD1" w:rsidP="006C7BD1">
      <w:pPr>
        <w:numPr>
          <w:ilvl w:val="1"/>
          <w:numId w:val="19"/>
        </w:numPr>
        <w:ind w:right="80"/>
        <w:jc w:val="both"/>
        <w:rPr>
          <w:lang w:val="en-US"/>
        </w:rPr>
      </w:pPr>
    </w:p>
    <w:p w14:paraId="0219CD7D" w14:textId="2F8CDFC9" w:rsidR="007F27FE" w:rsidRPr="00074B8F" w:rsidRDefault="007F27FE" w:rsidP="00F804CC">
      <w:pPr>
        <w:ind w:right="80"/>
        <w:jc w:val="both"/>
        <w:rPr>
          <w:lang w:val="en-US"/>
        </w:rPr>
      </w:pPr>
      <w:r w:rsidRPr="00074B8F">
        <w:rPr>
          <w:lang w:val="en-US"/>
        </w:rPr>
        <w:t xml:space="preserve">  </w:t>
      </w:r>
    </w:p>
    <w:p w14:paraId="5BB0045A" w14:textId="77777777" w:rsidR="0001194C" w:rsidRPr="00074B8F" w:rsidRDefault="0001194C" w:rsidP="00F804CC">
      <w:pPr>
        <w:ind w:right="80"/>
        <w:jc w:val="both"/>
        <w:rPr>
          <w:lang w:val="en-US"/>
        </w:rPr>
      </w:pPr>
    </w:p>
    <w:p w14:paraId="48DFD877" w14:textId="77777777" w:rsidR="0001194C" w:rsidRPr="00074B8F" w:rsidRDefault="0001194C" w:rsidP="00F804CC">
      <w:pPr>
        <w:ind w:right="80"/>
        <w:jc w:val="both"/>
        <w:rPr>
          <w:lang w:val="en-US"/>
        </w:rPr>
      </w:pPr>
    </w:p>
    <w:p w14:paraId="0FD2565F" w14:textId="77777777" w:rsidR="00F804CC" w:rsidRPr="00074B8F" w:rsidRDefault="00F804CC" w:rsidP="00F804CC">
      <w:pPr>
        <w:ind w:right="80"/>
        <w:jc w:val="both"/>
        <w:rPr>
          <w:lang w:val="en-US"/>
        </w:rPr>
      </w:pPr>
    </w:p>
    <w:p w14:paraId="563DF05F" w14:textId="77777777" w:rsidR="00F804CC" w:rsidRPr="00074B8F" w:rsidRDefault="00F804CC" w:rsidP="00F804CC">
      <w:pPr>
        <w:ind w:right="80"/>
        <w:jc w:val="both"/>
        <w:rPr>
          <w:lang w:val="en-US"/>
        </w:rPr>
      </w:pPr>
    </w:p>
    <w:p w14:paraId="576C4747" w14:textId="77777777" w:rsidR="007F27FE" w:rsidRPr="00074B8F" w:rsidRDefault="007F27FE" w:rsidP="007F27FE">
      <w:pPr>
        <w:jc w:val="both"/>
        <w:rPr>
          <w:lang w:val="en-US"/>
        </w:rPr>
      </w:pPr>
    </w:p>
    <w:p w14:paraId="7B850DB6" w14:textId="77777777" w:rsidR="007F27FE" w:rsidRPr="00074B8F" w:rsidRDefault="007F27FE" w:rsidP="007F27FE">
      <w:pPr>
        <w:jc w:val="both"/>
        <w:rPr>
          <w:lang w:val="en-US"/>
        </w:rPr>
      </w:pPr>
    </w:p>
    <w:p w14:paraId="25AF0364" w14:textId="77777777" w:rsidR="007F27FE" w:rsidRPr="00074B8F" w:rsidRDefault="007F27FE" w:rsidP="007F27FE">
      <w:pPr>
        <w:spacing w:before="0" w:after="160" w:line="259" w:lineRule="auto"/>
        <w:jc w:val="center"/>
        <w:rPr>
          <w:rFonts w:ascii="Times New Roman" w:eastAsiaTheme="minorHAnsi" w:hAnsi="Times New Roman" w:cs="Times New Roman"/>
          <w:b/>
          <w:bCs/>
          <w:sz w:val="28"/>
          <w:szCs w:val="28"/>
          <w:lang w:val="en-US"/>
        </w:rPr>
      </w:pPr>
    </w:p>
    <w:p w14:paraId="2F173DA1" w14:textId="77777777" w:rsidR="007F27FE" w:rsidRPr="00074B8F" w:rsidRDefault="007F27FE" w:rsidP="00795DBA">
      <w:pPr>
        <w:rPr>
          <w:lang w:val="en-US"/>
        </w:rPr>
      </w:pPr>
    </w:p>
    <w:sectPr w:rsidR="007F27FE" w:rsidRPr="00074B8F" w:rsidSect="00E0714A">
      <w:headerReference w:type="default" r:id="rId13"/>
      <w:footerReference w:type="default" r:id="rId14"/>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08FB" w14:textId="77777777" w:rsidR="007F27FE" w:rsidRDefault="007F27FE" w:rsidP="00E0714A">
      <w:r>
        <w:separator/>
      </w:r>
    </w:p>
  </w:endnote>
  <w:endnote w:type="continuationSeparator" w:id="0">
    <w:p w14:paraId="4E5A5DF9" w14:textId="77777777" w:rsidR="007F27FE" w:rsidRDefault="007F27FE"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410"/>
      <w:gridCol w:w="4111"/>
      <w:gridCol w:w="2549"/>
    </w:tblGrid>
    <w:tr w:rsidR="00703906" w14:paraId="0033B27C" w14:textId="77777777" w:rsidTr="005E367D">
      <w:tc>
        <w:tcPr>
          <w:tcW w:w="1329" w:type="pct"/>
        </w:tcPr>
        <w:p w14:paraId="04888D7F" w14:textId="77777777" w:rsidR="00703906" w:rsidRDefault="00703906" w:rsidP="00703906">
          <w:pPr>
            <w:rPr>
              <w:sz w:val="18"/>
              <w:szCs w:val="18"/>
            </w:rPr>
          </w:pPr>
          <w:r>
            <w:rPr>
              <w:sz w:val="18"/>
              <w:szCs w:val="18"/>
            </w:rPr>
            <w:t xml:space="preserve">Stand: </w:t>
          </w:r>
        </w:p>
      </w:tc>
      <w:tc>
        <w:tcPr>
          <w:tcW w:w="2266" w:type="pct"/>
        </w:tcPr>
        <w:p w14:paraId="05A902C7" w14:textId="77777777"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14:paraId="3FDC4444"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5A52E0FD" w14:textId="77777777" w:rsidR="00703906" w:rsidRPr="00703906" w:rsidRDefault="00703906" w:rsidP="00703906">
    <w:pP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63F2" w14:textId="77777777" w:rsidR="007F27FE" w:rsidRDefault="007F27FE" w:rsidP="00E0714A">
      <w:r>
        <w:separator/>
      </w:r>
    </w:p>
  </w:footnote>
  <w:footnote w:type="continuationSeparator" w:id="0">
    <w:p w14:paraId="37EA68A5" w14:textId="77777777" w:rsidR="007F27FE" w:rsidRDefault="007F27FE"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344"/>
      <w:gridCol w:w="2726"/>
    </w:tblGrid>
    <w:tr w:rsidR="00703906" w:rsidRPr="00703906" w14:paraId="386590FD" w14:textId="77777777" w:rsidTr="005E367D">
      <w:sdt>
        <w:sdtPr>
          <w:rPr>
            <w:rFonts w:eastAsia="Times New Roman" w:cs="Times New Roman"/>
            <w:lang w:eastAsia="de-DE"/>
          </w:rPr>
          <w:alias w:val="CONFIDENTIALITY"/>
          <w:tag w:val="CONFIDENTIALITY"/>
          <w:id w:val="1407269986"/>
          <w:dataBinding w:prefixMappings="xmlns:ns0='http://schemas.microsoft.com/office/2006/metadata/properties' xmlns:ns1='http://www.w3.org/2001/XMLSchema-instance' xmlns:ns2='http://schemas.microsoft.com/office/infopath/2007/PartnerControls' xmlns:ns3='00234caa-62c6-4e57-81ad-a8a497e5b443' " w:xpath="/ns0:properties[1]/documentManagement[1]/ns3:CONFIDENTIALITY[1]" w:storeItemID="{162B8A2E-F1C1-4D47-8736-76AC5982C9FF}"/>
          <w:dropDownList>
            <w:listItem w:value="[CONFIDENTIALITY]"/>
          </w:dropDownList>
        </w:sdtPr>
        <w:sdtEndPr/>
        <w:sdtContent>
          <w:tc>
            <w:tcPr>
              <w:tcW w:w="3497" w:type="pct"/>
            </w:tcPr>
            <w:p w14:paraId="0BAB2D7C" w14:textId="19C4754A" w:rsidR="00703906" w:rsidRPr="00703906" w:rsidRDefault="0001194C" w:rsidP="00703906">
              <w:pPr>
                <w:tabs>
                  <w:tab w:val="right" w:pos="9356"/>
                </w:tabs>
                <w:spacing w:before="660"/>
                <w:rPr>
                  <w:rFonts w:eastAsia="Times New Roman" w:cs="Times New Roman"/>
                  <w:lang w:eastAsia="de-DE"/>
                </w:rPr>
              </w:pPr>
              <w:r>
                <w:rPr>
                  <w:rFonts w:eastAsia="Times New Roman" w:cs="Times New Roman"/>
                  <w:lang w:eastAsia="de-DE"/>
                </w:rPr>
                <w:t>INTERNAL</w:t>
              </w:r>
            </w:p>
          </w:tc>
        </w:sdtContent>
      </w:sdt>
      <w:tc>
        <w:tcPr>
          <w:tcW w:w="1503" w:type="pct"/>
        </w:tcPr>
        <w:p w14:paraId="40FCAC2A" w14:textId="03963D5E" w:rsidR="00703906" w:rsidRPr="00703906" w:rsidRDefault="00703906" w:rsidP="00703906">
          <w:pPr>
            <w:tabs>
              <w:tab w:val="right" w:pos="9356"/>
            </w:tabs>
            <w:ind w:right="-227"/>
            <w:jc w:val="right"/>
            <w:rPr>
              <w:rFonts w:eastAsia="Times New Roman" w:cs="Times New Roman"/>
              <w:sz w:val="20"/>
              <w:szCs w:val="20"/>
              <w:lang w:eastAsia="de-DE"/>
            </w:rPr>
          </w:pPr>
        </w:p>
      </w:tc>
    </w:tr>
  </w:tbl>
  <w:p w14:paraId="2B78098F" w14:textId="77777777" w:rsidR="00703906" w:rsidRPr="00703906" w:rsidRDefault="007039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5925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DC7678"/>
    <w:multiLevelType w:val="multilevel"/>
    <w:tmpl w:val="33F0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13401B"/>
    <w:multiLevelType w:val="multilevel"/>
    <w:tmpl w:val="2216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E82CFA"/>
    <w:multiLevelType w:val="multilevel"/>
    <w:tmpl w:val="4C28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E32A49"/>
    <w:multiLevelType w:val="multilevel"/>
    <w:tmpl w:val="EDB0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568B2"/>
    <w:multiLevelType w:val="multilevel"/>
    <w:tmpl w:val="999A28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74424CD"/>
    <w:multiLevelType w:val="multilevel"/>
    <w:tmpl w:val="E8C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9B4552"/>
    <w:multiLevelType w:val="multilevel"/>
    <w:tmpl w:val="47FAA0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3A334C"/>
    <w:multiLevelType w:val="multilevel"/>
    <w:tmpl w:val="300EFB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1776F9"/>
    <w:multiLevelType w:val="multilevel"/>
    <w:tmpl w:val="24F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F506F0"/>
    <w:multiLevelType w:val="multilevel"/>
    <w:tmpl w:val="8660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2798"/>
    <w:multiLevelType w:val="multilevel"/>
    <w:tmpl w:val="3ACC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E91B75"/>
    <w:multiLevelType w:val="hybridMultilevel"/>
    <w:tmpl w:val="0CA22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D7BF7"/>
    <w:multiLevelType w:val="multilevel"/>
    <w:tmpl w:val="0C5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62E68"/>
    <w:multiLevelType w:val="multilevel"/>
    <w:tmpl w:val="F7FE51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B73431"/>
    <w:multiLevelType w:val="multilevel"/>
    <w:tmpl w:val="22CA0818"/>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6" w15:restartNumberingAfterBreak="0">
    <w:nsid w:val="68612932"/>
    <w:multiLevelType w:val="multilevel"/>
    <w:tmpl w:val="4E5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B412D4"/>
    <w:multiLevelType w:val="multilevel"/>
    <w:tmpl w:val="FB72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D728BC"/>
    <w:multiLevelType w:val="multilevel"/>
    <w:tmpl w:val="B802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1B3C24"/>
    <w:multiLevelType w:val="hybridMultilevel"/>
    <w:tmpl w:val="A386CB28"/>
    <w:lvl w:ilvl="0" w:tplc="0409000F">
      <w:start w:val="1"/>
      <w:numFmt w:val="decimal"/>
      <w:lvlText w:val="%1."/>
      <w:lvlJc w:val="left"/>
      <w:pPr>
        <w:ind w:left="1065" w:hanging="705"/>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B7EC43"/>
    <w:multiLevelType w:val="hybridMultilevel"/>
    <w:tmpl w:val="D19C03FE"/>
    <w:lvl w:ilvl="0" w:tplc="635C3548">
      <w:start w:val="1"/>
      <w:numFmt w:val="bullet"/>
      <w:lvlText w:val="·"/>
      <w:lvlJc w:val="left"/>
      <w:pPr>
        <w:ind w:left="360" w:hanging="360"/>
      </w:pPr>
      <w:rPr>
        <w:rFonts w:ascii="Symbol" w:hAnsi="Symbol" w:hint="default"/>
      </w:rPr>
    </w:lvl>
    <w:lvl w:ilvl="1" w:tplc="6E6A5300">
      <w:start w:val="1"/>
      <w:numFmt w:val="bullet"/>
      <w:lvlText w:val="o"/>
      <w:lvlJc w:val="left"/>
      <w:pPr>
        <w:ind w:left="1080" w:hanging="360"/>
      </w:pPr>
      <w:rPr>
        <w:rFonts w:ascii="Courier New" w:hAnsi="Courier New" w:hint="default"/>
      </w:rPr>
    </w:lvl>
    <w:lvl w:ilvl="2" w:tplc="9286A52E">
      <w:start w:val="1"/>
      <w:numFmt w:val="bullet"/>
      <w:lvlText w:val=""/>
      <w:lvlJc w:val="left"/>
      <w:pPr>
        <w:ind w:left="1800" w:hanging="360"/>
      </w:pPr>
      <w:rPr>
        <w:rFonts w:ascii="Wingdings" w:hAnsi="Wingdings" w:hint="default"/>
      </w:rPr>
    </w:lvl>
    <w:lvl w:ilvl="3" w:tplc="5E242460">
      <w:start w:val="1"/>
      <w:numFmt w:val="bullet"/>
      <w:lvlText w:val=""/>
      <w:lvlJc w:val="left"/>
      <w:pPr>
        <w:ind w:left="2520" w:hanging="360"/>
      </w:pPr>
      <w:rPr>
        <w:rFonts w:ascii="Symbol" w:hAnsi="Symbol" w:hint="default"/>
      </w:rPr>
    </w:lvl>
    <w:lvl w:ilvl="4" w:tplc="BDAE2DBC">
      <w:start w:val="1"/>
      <w:numFmt w:val="bullet"/>
      <w:lvlText w:val="o"/>
      <w:lvlJc w:val="left"/>
      <w:pPr>
        <w:ind w:left="3240" w:hanging="360"/>
      </w:pPr>
      <w:rPr>
        <w:rFonts w:ascii="Courier New" w:hAnsi="Courier New" w:hint="default"/>
      </w:rPr>
    </w:lvl>
    <w:lvl w:ilvl="5" w:tplc="CC8244D0">
      <w:start w:val="1"/>
      <w:numFmt w:val="bullet"/>
      <w:lvlText w:val=""/>
      <w:lvlJc w:val="left"/>
      <w:pPr>
        <w:ind w:left="3960" w:hanging="360"/>
      </w:pPr>
      <w:rPr>
        <w:rFonts w:ascii="Wingdings" w:hAnsi="Wingdings" w:hint="default"/>
      </w:rPr>
    </w:lvl>
    <w:lvl w:ilvl="6" w:tplc="586C9600">
      <w:start w:val="1"/>
      <w:numFmt w:val="bullet"/>
      <w:lvlText w:val=""/>
      <w:lvlJc w:val="left"/>
      <w:pPr>
        <w:ind w:left="4680" w:hanging="360"/>
      </w:pPr>
      <w:rPr>
        <w:rFonts w:ascii="Symbol" w:hAnsi="Symbol" w:hint="default"/>
      </w:rPr>
    </w:lvl>
    <w:lvl w:ilvl="7" w:tplc="1A602B0E">
      <w:start w:val="1"/>
      <w:numFmt w:val="bullet"/>
      <w:lvlText w:val="o"/>
      <w:lvlJc w:val="left"/>
      <w:pPr>
        <w:ind w:left="5400" w:hanging="360"/>
      </w:pPr>
      <w:rPr>
        <w:rFonts w:ascii="Courier New" w:hAnsi="Courier New" w:hint="default"/>
      </w:rPr>
    </w:lvl>
    <w:lvl w:ilvl="8" w:tplc="0240BEF2">
      <w:start w:val="1"/>
      <w:numFmt w:val="bullet"/>
      <w:lvlText w:val=""/>
      <w:lvlJc w:val="left"/>
      <w:pPr>
        <w:ind w:left="6120" w:hanging="360"/>
      </w:pPr>
      <w:rPr>
        <w:rFonts w:ascii="Wingdings" w:hAnsi="Wingdings" w:hint="default"/>
      </w:rPr>
    </w:lvl>
  </w:abstractNum>
  <w:abstractNum w:abstractNumId="31" w15:restartNumberingAfterBreak="0">
    <w:nsid w:val="77205503"/>
    <w:multiLevelType w:val="multilevel"/>
    <w:tmpl w:val="57CA44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6"/>
  </w:num>
  <w:num w:numId="13">
    <w:abstractNumId w:val="20"/>
  </w:num>
  <w:num w:numId="14">
    <w:abstractNumId w:val="23"/>
  </w:num>
  <w:num w:numId="15">
    <w:abstractNumId w:val="11"/>
  </w:num>
  <w:num w:numId="16">
    <w:abstractNumId w:val="14"/>
  </w:num>
  <w:num w:numId="17">
    <w:abstractNumId w:val="27"/>
  </w:num>
  <w:num w:numId="18">
    <w:abstractNumId w:val="29"/>
  </w:num>
  <w:num w:numId="19">
    <w:abstractNumId w:val="10"/>
  </w:num>
  <w:num w:numId="20">
    <w:abstractNumId w:val="22"/>
  </w:num>
  <w:num w:numId="21">
    <w:abstractNumId w:val="30"/>
  </w:num>
  <w:num w:numId="22">
    <w:abstractNumId w:val="15"/>
  </w:num>
  <w:num w:numId="23">
    <w:abstractNumId w:val="31"/>
  </w:num>
  <w:num w:numId="24">
    <w:abstractNumId w:val="18"/>
  </w:num>
  <w:num w:numId="25">
    <w:abstractNumId w:val="12"/>
  </w:num>
  <w:num w:numId="26">
    <w:abstractNumId w:val="24"/>
  </w:num>
  <w:num w:numId="27">
    <w:abstractNumId w:val="21"/>
  </w:num>
  <w:num w:numId="28">
    <w:abstractNumId w:val="13"/>
  </w:num>
  <w:num w:numId="29">
    <w:abstractNumId w:val="28"/>
  </w:num>
  <w:num w:numId="30">
    <w:abstractNumId w:val="17"/>
  </w:num>
  <w:num w:numId="31">
    <w:abstractNumId w:val="1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FE"/>
    <w:rsid w:val="0001194C"/>
    <w:rsid w:val="000236C7"/>
    <w:rsid w:val="0002529C"/>
    <w:rsid w:val="0002743D"/>
    <w:rsid w:val="000345DC"/>
    <w:rsid w:val="0004160B"/>
    <w:rsid w:val="000632E0"/>
    <w:rsid w:val="00074B8F"/>
    <w:rsid w:val="00092603"/>
    <w:rsid w:val="000D2794"/>
    <w:rsid w:val="00135540"/>
    <w:rsid w:val="001B1B1F"/>
    <w:rsid w:val="002101ED"/>
    <w:rsid w:val="002648E9"/>
    <w:rsid w:val="00291DA7"/>
    <w:rsid w:val="002929CA"/>
    <w:rsid w:val="002D02AE"/>
    <w:rsid w:val="00324DC1"/>
    <w:rsid w:val="003407FB"/>
    <w:rsid w:val="00361799"/>
    <w:rsid w:val="00394C1D"/>
    <w:rsid w:val="003B306D"/>
    <w:rsid w:val="003E29DA"/>
    <w:rsid w:val="003E5CAF"/>
    <w:rsid w:val="00463325"/>
    <w:rsid w:val="00464DA0"/>
    <w:rsid w:val="004853DF"/>
    <w:rsid w:val="0048622E"/>
    <w:rsid w:val="004E2152"/>
    <w:rsid w:val="004E334E"/>
    <w:rsid w:val="005155E3"/>
    <w:rsid w:val="005A2433"/>
    <w:rsid w:val="005E367D"/>
    <w:rsid w:val="005E44AF"/>
    <w:rsid w:val="005F04BA"/>
    <w:rsid w:val="0060390F"/>
    <w:rsid w:val="00622E8B"/>
    <w:rsid w:val="00676462"/>
    <w:rsid w:val="00681AE3"/>
    <w:rsid w:val="006A0951"/>
    <w:rsid w:val="006C7BD1"/>
    <w:rsid w:val="006D087C"/>
    <w:rsid w:val="006D37D0"/>
    <w:rsid w:val="006F1AB4"/>
    <w:rsid w:val="00703906"/>
    <w:rsid w:val="00720A7D"/>
    <w:rsid w:val="0076322D"/>
    <w:rsid w:val="00777255"/>
    <w:rsid w:val="00792C36"/>
    <w:rsid w:val="00795DBA"/>
    <w:rsid w:val="007F27FE"/>
    <w:rsid w:val="0080748B"/>
    <w:rsid w:val="008237D6"/>
    <w:rsid w:val="00827BB9"/>
    <w:rsid w:val="00835692"/>
    <w:rsid w:val="008D0EC6"/>
    <w:rsid w:val="008F3E96"/>
    <w:rsid w:val="008F7397"/>
    <w:rsid w:val="0090441B"/>
    <w:rsid w:val="00922322"/>
    <w:rsid w:val="00924CD7"/>
    <w:rsid w:val="00947978"/>
    <w:rsid w:val="00977042"/>
    <w:rsid w:val="00985320"/>
    <w:rsid w:val="0098553D"/>
    <w:rsid w:val="009C0A08"/>
    <w:rsid w:val="009D3C50"/>
    <w:rsid w:val="00A84C26"/>
    <w:rsid w:val="00AF41DB"/>
    <w:rsid w:val="00AF5AF0"/>
    <w:rsid w:val="00B22F48"/>
    <w:rsid w:val="00B6519B"/>
    <w:rsid w:val="00B963C8"/>
    <w:rsid w:val="00BE5762"/>
    <w:rsid w:val="00C03981"/>
    <w:rsid w:val="00C23810"/>
    <w:rsid w:val="00C76DAC"/>
    <w:rsid w:val="00CB282C"/>
    <w:rsid w:val="00CC46D4"/>
    <w:rsid w:val="00CE4813"/>
    <w:rsid w:val="00D01281"/>
    <w:rsid w:val="00D274B6"/>
    <w:rsid w:val="00D33EDC"/>
    <w:rsid w:val="00D43C6B"/>
    <w:rsid w:val="00D52C09"/>
    <w:rsid w:val="00D874DE"/>
    <w:rsid w:val="00DB0CD9"/>
    <w:rsid w:val="00DB7C24"/>
    <w:rsid w:val="00E0714A"/>
    <w:rsid w:val="00E44185"/>
    <w:rsid w:val="00E916AA"/>
    <w:rsid w:val="00EC7226"/>
    <w:rsid w:val="00EF787B"/>
    <w:rsid w:val="00F2068D"/>
    <w:rsid w:val="00F30AA3"/>
    <w:rsid w:val="00F804CC"/>
    <w:rsid w:val="00F91ECF"/>
    <w:rsid w:val="00FE515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17A0A"/>
  <w15:chartTrackingRefBased/>
  <w15:docId w15:val="{D9C1189B-9AA8-4DB4-8B9C-668CAE12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7FE"/>
    <w:pPr>
      <w:spacing w:before="120" w:after="0" w:line="240" w:lineRule="auto"/>
    </w:pPr>
    <w:rPr>
      <w:rFonts w:ascii="Arial" w:eastAsia="Calibri" w:hAnsi="Arial" w:cs="Arial"/>
      <w:lang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27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27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27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27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uiPriority w:val="99"/>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table" w:styleId="TableGridLight">
    <w:name w:val="Grid Table Light"/>
    <w:basedOn w:val="TableNormal"/>
    <w:uiPriority w:val="40"/>
    <w:rsid w:val="005E3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i-primitive">
    <w:name w:val="fui-primitive"/>
    <w:basedOn w:val="DefaultParagraphFont"/>
    <w:rsid w:val="004E334E"/>
  </w:style>
  <w:style w:type="paragraph" w:styleId="NormalWeb">
    <w:name w:val="Normal (Web)"/>
    <w:basedOn w:val="Normal"/>
    <w:uiPriority w:val="99"/>
    <w:semiHidden/>
    <w:unhideWhenUsed/>
    <w:rsid w:val="004E334E"/>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E334E"/>
    <w:rPr>
      <w:b/>
      <w:bCs/>
    </w:rPr>
  </w:style>
  <w:style w:type="character" w:customStyle="1" w:styleId="fui-readerheading">
    <w:name w:val="fui-readerheading"/>
    <w:basedOn w:val="DefaultParagraphFont"/>
    <w:rsid w:val="004E334E"/>
  </w:style>
  <w:style w:type="character" w:styleId="PlaceholderText">
    <w:name w:val="Placeholder Text"/>
    <w:basedOn w:val="DefaultParagraphFont"/>
    <w:uiPriority w:val="99"/>
    <w:semiHidden/>
    <w:rsid w:val="005155E3"/>
    <w:rPr>
      <w:color w:val="808080"/>
    </w:rPr>
  </w:style>
  <w:style w:type="character" w:customStyle="1" w:styleId="Heading6Char">
    <w:name w:val="Heading 6 Char"/>
    <w:basedOn w:val="DefaultParagraphFont"/>
    <w:link w:val="Heading6"/>
    <w:uiPriority w:val="9"/>
    <w:semiHidden/>
    <w:rsid w:val="007F27FE"/>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7F27FE"/>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7F27FE"/>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7F27FE"/>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7F27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7FE"/>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7F27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27FE"/>
    <w:rPr>
      <w:rFonts w:ascii="Arial" w:hAnsi="Arial"/>
      <w:i/>
      <w:iCs/>
      <w:color w:val="404040" w:themeColor="text1" w:themeTint="BF"/>
      <w:lang w:eastAsia="en-US"/>
    </w:rPr>
  </w:style>
  <w:style w:type="paragraph" w:styleId="ListParagraph">
    <w:name w:val="List Paragraph"/>
    <w:aliases w:val="List Paragraph (numbered (a)),Table/Figure Heading,En tête 1,IFCL - List Paragraph,List Paragraph1,Bullets,Lapis Bulleted List,Dot pt,F5 List Paragraph,No Spacing1,List Paragraph Char Char Char,Indicator Text,Numbered Para 1,Bullet 1,L"/>
    <w:basedOn w:val="Normal"/>
    <w:link w:val="ListParagraphChar"/>
    <w:uiPriority w:val="34"/>
    <w:qFormat/>
    <w:rsid w:val="007F27FE"/>
    <w:pPr>
      <w:ind w:left="720"/>
      <w:contextualSpacing/>
    </w:pPr>
  </w:style>
  <w:style w:type="character" w:styleId="IntenseEmphasis">
    <w:name w:val="Intense Emphasis"/>
    <w:basedOn w:val="DefaultParagraphFont"/>
    <w:uiPriority w:val="21"/>
    <w:qFormat/>
    <w:rsid w:val="007F27FE"/>
    <w:rPr>
      <w:i/>
      <w:iCs/>
      <w:color w:val="2F5496" w:themeColor="accent1" w:themeShade="BF"/>
    </w:rPr>
  </w:style>
  <w:style w:type="paragraph" w:styleId="IntenseQuote">
    <w:name w:val="Intense Quote"/>
    <w:basedOn w:val="Normal"/>
    <w:next w:val="Normal"/>
    <w:link w:val="IntenseQuoteChar"/>
    <w:uiPriority w:val="30"/>
    <w:qFormat/>
    <w:rsid w:val="007F2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27FE"/>
    <w:rPr>
      <w:rFonts w:ascii="Arial" w:hAnsi="Arial"/>
      <w:i/>
      <w:iCs/>
      <w:color w:val="2F5496" w:themeColor="accent1" w:themeShade="BF"/>
      <w:lang w:eastAsia="en-US"/>
    </w:rPr>
  </w:style>
  <w:style w:type="character" w:styleId="IntenseReference">
    <w:name w:val="Intense Reference"/>
    <w:basedOn w:val="DefaultParagraphFont"/>
    <w:uiPriority w:val="32"/>
    <w:qFormat/>
    <w:rsid w:val="007F27FE"/>
    <w:rPr>
      <w:b/>
      <w:bCs/>
      <w:smallCaps/>
      <w:color w:val="2F5496" w:themeColor="accent1" w:themeShade="BF"/>
      <w:spacing w:val="5"/>
    </w:rPr>
  </w:style>
  <w:style w:type="character" w:customStyle="1" w:styleId="ListParagraphChar">
    <w:name w:val="List Paragraph Char"/>
    <w:aliases w:val="List Paragraph (numbered (a)) Char,Table/Figure Heading Char,En tête 1 Char,IFCL - List Paragraph Char,List Paragraph1 Char,Bullets Char,Lapis Bulleted List Char,Dot pt Char,F5 List Paragraph Char,No Spacing1 Char,Indicator Text Char"/>
    <w:link w:val="ListParagraph"/>
    <w:uiPriority w:val="34"/>
    <w:qFormat/>
    <w:locked/>
    <w:rsid w:val="007F27FE"/>
    <w:rPr>
      <w:rFonts w:ascii="Arial" w:hAnsi="Arial"/>
      <w:lang w:eastAsia="en-US"/>
    </w:rPr>
  </w:style>
  <w:style w:type="paragraph" w:customStyle="1" w:styleId="Default">
    <w:name w:val="Default"/>
    <w:rsid w:val="00792C36"/>
    <w:pPr>
      <w:autoSpaceDE w:val="0"/>
      <w:autoSpaceDN w:val="0"/>
      <w:adjustRightInd w:val="0"/>
      <w:spacing w:after="0" w:line="240" w:lineRule="auto"/>
    </w:pPr>
    <w:rPr>
      <w:rFonts w:ascii="Calibri" w:hAnsi="Calibri" w:cs="Calibri"/>
      <w:color w:val="000000"/>
      <w:sz w:val="24"/>
      <w:szCs w:val="24"/>
      <w:lang w:val="en-US"/>
    </w:rPr>
  </w:style>
  <w:style w:type="paragraph" w:customStyle="1" w:styleId="ZulschenderText">
    <w:name w:val="Zu löschender Text"/>
    <w:basedOn w:val="Normal"/>
    <w:link w:val="ZulschenderTextZchn"/>
    <w:qFormat/>
    <w:rsid w:val="00361799"/>
    <w:pPr>
      <w:spacing w:before="240" w:after="240"/>
    </w:pPr>
    <w:rPr>
      <w:rFonts w:eastAsiaTheme="minorHAnsi" w:cstheme="minorBidi"/>
      <w:i/>
      <w:color w:val="FF0000"/>
      <w:lang w:val="en-GB"/>
    </w:rPr>
  </w:style>
  <w:style w:type="character" w:customStyle="1" w:styleId="ZulschenderTextZchn">
    <w:name w:val="Zu löschender Text Zchn"/>
    <w:basedOn w:val="DefaultParagraphFont"/>
    <w:link w:val="ZulschenderText"/>
    <w:rsid w:val="00361799"/>
    <w:rPr>
      <w:rFonts w:ascii="Arial" w:hAnsi="Arial"/>
      <w:i/>
      <w:color w:val="FF0000"/>
      <w:lang w:val="en-GB" w:eastAsia="en-US"/>
    </w:rPr>
  </w:style>
  <w:style w:type="character" w:styleId="Hyperlink">
    <w:name w:val="Hyperlink"/>
    <w:basedOn w:val="DefaultParagraphFont"/>
    <w:uiPriority w:val="99"/>
    <w:unhideWhenUsed/>
    <w:rsid w:val="00092603"/>
    <w:rPr>
      <w:color w:val="0563C1" w:themeColor="hyperlink"/>
      <w:u w:val="single"/>
    </w:rPr>
  </w:style>
  <w:style w:type="character" w:styleId="UnresolvedMention">
    <w:name w:val="Unresolved Mention"/>
    <w:basedOn w:val="DefaultParagraphFont"/>
    <w:uiPriority w:val="99"/>
    <w:semiHidden/>
    <w:unhideWhenUsed/>
    <w:rsid w:val="0009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0350">
      <w:bodyDiv w:val="1"/>
      <w:marLeft w:val="0"/>
      <w:marRight w:val="0"/>
      <w:marTop w:val="0"/>
      <w:marBottom w:val="0"/>
      <w:divBdr>
        <w:top w:val="none" w:sz="0" w:space="0" w:color="auto"/>
        <w:left w:val="none" w:sz="0" w:space="0" w:color="auto"/>
        <w:bottom w:val="none" w:sz="0" w:space="0" w:color="auto"/>
        <w:right w:val="none" w:sz="0" w:space="0" w:color="auto"/>
      </w:divBdr>
    </w:div>
    <w:div w:id="578639977">
      <w:bodyDiv w:val="1"/>
      <w:marLeft w:val="0"/>
      <w:marRight w:val="0"/>
      <w:marTop w:val="0"/>
      <w:marBottom w:val="0"/>
      <w:divBdr>
        <w:top w:val="none" w:sz="0" w:space="0" w:color="auto"/>
        <w:left w:val="none" w:sz="0" w:space="0" w:color="auto"/>
        <w:bottom w:val="none" w:sz="0" w:space="0" w:color="auto"/>
        <w:right w:val="none" w:sz="0" w:space="0" w:color="auto"/>
      </w:divBdr>
    </w:div>
    <w:div w:id="765539871">
      <w:bodyDiv w:val="1"/>
      <w:marLeft w:val="0"/>
      <w:marRight w:val="0"/>
      <w:marTop w:val="0"/>
      <w:marBottom w:val="0"/>
      <w:divBdr>
        <w:top w:val="none" w:sz="0" w:space="0" w:color="auto"/>
        <w:left w:val="none" w:sz="0" w:space="0" w:color="auto"/>
        <w:bottom w:val="none" w:sz="0" w:space="0" w:color="auto"/>
        <w:right w:val="none" w:sz="0" w:space="0" w:color="auto"/>
      </w:divBdr>
    </w:div>
    <w:div w:id="791635823">
      <w:bodyDiv w:val="1"/>
      <w:marLeft w:val="0"/>
      <w:marRight w:val="0"/>
      <w:marTop w:val="0"/>
      <w:marBottom w:val="0"/>
      <w:divBdr>
        <w:top w:val="none" w:sz="0" w:space="0" w:color="auto"/>
        <w:left w:val="none" w:sz="0" w:space="0" w:color="auto"/>
        <w:bottom w:val="none" w:sz="0" w:space="0" w:color="auto"/>
        <w:right w:val="none" w:sz="0" w:space="0" w:color="auto"/>
      </w:divBdr>
    </w:div>
    <w:div w:id="887837012">
      <w:bodyDiv w:val="1"/>
      <w:marLeft w:val="0"/>
      <w:marRight w:val="0"/>
      <w:marTop w:val="0"/>
      <w:marBottom w:val="0"/>
      <w:divBdr>
        <w:top w:val="none" w:sz="0" w:space="0" w:color="auto"/>
        <w:left w:val="none" w:sz="0" w:space="0" w:color="auto"/>
        <w:bottom w:val="none" w:sz="0" w:space="0" w:color="auto"/>
        <w:right w:val="none" w:sz="0" w:space="0" w:color="auto"/>
      </w:divBdr>
    </w:div>
    <w:div w:id="937130220">
      <w:bodyDiv w:val="1"/>
      <w:marLeft w:val="0"/>
      <w:marRight w:val="0"/>
      <w:marTop w:val="0"/>
      <w:marBottom w:val="0"/>
      <w:divBdr>
        <w:top w:val="none" w:sz="0" w:space="0" w:color="auto"/>
        <w:left w:val="none" w:sz="0" w:space="0" w:color="auto"/>
        <w:bottom w:val="none" w:sz="0" w:space="0" w:color="auto"/>
        <w:right w:val="none" w:sz="0" w:space="0" w:color="auto"/>
      </w:divBdr>
    </w:div>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 w:id="1202744087">
      <w:bodyDiv w:val="1"/>
      <w:marLeft w:val="0"/>
      <w:marRight w:val="0"/>
      <w:marTop w:val="0"/>
      <w:marBottom w:val="0"/>
      <w:divBdr>
        <w:top w:val="none" w:sz="0" w:space="0" w:color="auto"/>
        <w:left w:val="none" w:sz="0" w:space="0" w:color="auto"/>
        <w:bottom w:val="none" w:sz="0" w:space="0" w:color="auto"/>
        <w:right w:val="none" w:sz="0" w:space="0" w:color="auto"/>
      </w:divBdr>
    </w:div>
    <w:div w:id="1682857283">
      <w:bodyDiv w:val="1"/>
      <w:marLeft w:val="0"/>
      <w:marRight w:val="0"/>
      <w:marTop w:val="0"/>
      <w:marBottom w:val="0"/>
      <w:divBdr>
        <w:top w:val="none" w:sz="0" w:space="0" w:color="auto"/>
        <w:left w:val="none" w:sz="0" w:space="0" w:color="auto"/>
        <w:bottom w:val="none" w:sz="0" w:space="0" w:color="auto"/>
        <w:right w:val="none" w:sz="0" w:space="0" w:color="auto"/>
      </w:divBdr>
    </w:div>
    <w:div w:id="1842505187">
      <w:bodyDiv w:val="1"/>
      <w:marLeft w:val="0"/>
      <w:marRight w:val="0"/>
      <w:marTop w:val="0"/>
      <w:marBottom w:val="0"/>
      <w:divBdr>
        <w:top w:val="none" w:sz="0" w:space="0" w:color="auto"/>
        <w:left w:val="none" w:sz="0" w:space="0" w:color="auto"/>
        <w:bottom w:val="none" w:sz="0" w:space="0" w:color="auto"/>
        <w:right w:val="none" w:sz="0" w:space="0" w:color="auto"/>
      </w:divBdr>
    </w:div>
    <w:div w:id="191404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iz.de/en/downloads/giz2024-en-G-CREWS-7sister-ESIA-ESMP-repor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0bf4fe-1ac2-42cd-a3ec-7184482819f0" xsi:nil="true"/>
    <lcf76f155ced4ddcb4097134ff3c332f xmlns="2411d5b6-2197-4524-ab20-1ed93952be1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5C8242DD934A947863AA5F310137F3F" ma:contentTypeVersion="20" ma:contentTypeDescription="Ein neues Dokument erstellen." ma:contentTypeScope="" ma:versionID="4f5644519932f7a6daf97ab1c34190d7">
  <xsd:schema xmlns:xsd="http://www.w3.org/2001/XMLSchema" xmlns:xs="http://www.w3.org/2001/XMLSchema" xmlns:p="http://schemas.microsoft.com/office/2006/metadata/properties" xmlns:ns2="2411d5b6-2197-4524-ab20-1ed93952be1d" xmlns:ns3="520bf4fe-1ac2-42cd-a3ec-7184482819f0" targetNamespace="http://schemas.microsoft.com/office/2006/metadata/properties" ma:root="true" ma:fieldsID="57f0cc12916cc3852026523f04627c50" ns2:_="" ns3:_="">
    <xsd:import namespace="2411d5b6-2197-4524-ab20-1ed93952be1d"/>
    <xsd:import namespace="520bf4fe-1ac2-42cd-a3ec-718448281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d5b6-2197-4524-ab20-1ed93952b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0bf4fe-1ac2-42cd-a3ec-7184482819f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01bcd16a-f6f5-4a6f-8054-fa430ae27472}" ma:internalName="TaxCatchAll" ma:showField="CatchAllData" ma:web="520bf4fe-1ac2-42cd-a3ec-7184482819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5396D-BF94-4FF1-BC2E-FFDCBD9287E0}">
  <ds:schemaRefs>
    <ds:schemaRef ds:uri="http://schemas.microsoft.com/sharepoint/v3/contenttype/forms"/>
  </ds:schemaRefs>
</ds:datastoreItem>
</file>

<file path=customXml/itemProps2.xml><?xml version="1.0" encoding="utf-8"?>
<ds:datastoreItem xmlns:ds="http://schemas.openxmlformats.org/officeDocument/2006/customXml" ds:itemID="{162B8A2E-F1C1-4D47-8736-76AC5982C9FF}">
  <ds:schemaRefs>
    <ds:schemaRef ds:uri="http://purl.org/dc/terms/"/>
    <ds:schemaRef ds:uri="http://schemas.openxmlformats.org/package/2006/metadata/core-properties"/>
    <ds:schemaRef ds:uri="6efb9f3c-b134-4d58-bd8b-6641a08e8ed7"/>
    <ds:schemaRef ds:uri="http://schemas.microsoft.com/office/2006/metadata/properties"/>
    <ds:schemaRef ds:uri="http://schemas.microsoft.com/office/2006/documentManagement/types"/>
    <ds:schemaRef ds:uri="http://purl.org/dc/elements/1.1/"/>
    <ds:schemaRef ds:uri="00234caa-62c6-4e57-81ad-a8a497e5b443"/>
    <ds:schemaRef ds:uri="http://schemas.microsoft.com/office/infopath/2007/PartnerControls"/>
    <ds:schemaRef ds:uri="http://www.w3.org/XML/1998/namespace"/>
    <ds:schemaRef ds:uri="http://purl.org/dc/dcmitype/"/>
    <ds:schemaRef ds:uri="520bf4fe-1ac2-42cd-a3ec-7184482819f0"/>
    <ds:schemaRef ds:uri="2411d5b6-2197-4524-ab20-1ed93952be1d"/>
  </ds:schemaRefs>
</ds:datastoreItem>
</file>

<file path=customXml/itemProps3.xml><?xml version="1.0" encoding="utf-8"?>
<ds:datastoreItem xmlns:ds="http://schemas.openxmlformats.org/officeDocument/2006/customXml" ds:itemID="{3974A82F-446C-4290-BE34-3B051EEBB03B}">
  <ds:schemaRefs>
    <ds:schemaRef ds:uri="http://schemas.openxmlformats.org/officeDocument/2006/bibliography"/>
  </ds:schemaRefs>
</ds:datastoreItem>
</file>

<file path=customXml/itemProps4.xml><?xml version="1.0" encoding="utf-8"?>
<ds:datastoreItem xmlns:ds="http://schemas.openxmlformats.org/officeDocument/2006/customXml" ds:itemID="{34C07FC9-36E4-4F57-834C-A1424603D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d5b6-2197-4524-ab20-1ed93952be1d"/>
    <ds:schemaRef ds:uri="520bf4fe-1ac2-42cd-a3ec-718448281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Geiss, Marion GIZ GD</dc:creator>
  <cp:keywords/>
  <dc:description/>
  <cp:lastModifiedBy>Knoll, Gerhard CIM-IF</cp:lastModifiedBy>
  <cp:revision>3</cp:revision>
  <dcterms:created xsi:type="dcterms:W3CDTF">2025-05-21T19:29:00Z</dcterms:created>
  <dcterms:modified xsi:type="dcterms:W3CDTF">2025-05-21T19:33:00Z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0x010100C5C8242DD934A947863AA5F310137F3F</vt:lpwstr>
  </property>
</Properties>
</file>